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FF570" w14:textId="77777777" w:rsidR="00E76A53" w:rsidRDefault="00000000">
      <w:pPr>
        <w:pStyle w:val="MStitle"/>
        <w:rPr>
          <w:rFonts w:eastAsia="宋体"/>
          <w:lang w:val="en-US" w:eastAsia="zh-CN"/>
        </w:rPr>
      </w:pPr>
      <w:r>
        <w:t>A Sub-Grid Parameterization Scheme for Topographic Vertical Motion in CAM5</w:t>
      </w:r>
      <w:r>
        <w:rPr>
          <w:rFonts w:eastAsia="宋体" w:hint="eastAsia"/>
          <w:lang w:val="en-US" w:eastAsia="zh-CN"/>
        </w:rPr>
        <w:t>-SE</w:t>
      </w:r>
    </w:p>
    <w:p w14:paraId="4DF79AE9" w14:textId="77777777" w:rsidR="00E76A53" w:rsidRDefault="00000000">
      <w:pPr>
        <w:pStyle w:val="Authors"/>
        <w:rPr>
          <w:vertAlign w:val="superscript"/>
        </w:rPr>
      </w:pPr>
      <w:r>
        <w:t>Yaqi Wang</w:t>
      </w:r>
      <w:r>
        <w:rPr>
          <w:rFonts w:hint="eastAsia"/>
          <w:vertAlign w:val="superscript"/>
        </w:rPr>
        <w:t>1</w:t>
      </w:r>
      <w:r>
        <w:t>, Lanning Wang</w:t>
      </w:r>
      <w:r>
        <w:rPr>
          <w:rFonts w:hint="eastAsia"/>
          <w:vertAlign w:val="superscript"/>
        </w:rPr>
        <w:t>1</w:t>
      </w:r>
      <w:r>
        <w:rPr>
          <w:vertAlign w:val="superscript"/>
        </w:rPr>
        <w:t>,2*</w:t>
      </w:r>
      <w:r>
        <w:t>, Juan Feng</w:t>
      </w:r>
      <w:r>
        <w:rPr>
          <w:rFonts w:hint="eastAsia"/>
          <w:vertAlign w:val="superscript"/>
        </w:rPr>
        <w:t>1</w:t>
      </w:r>
      <w:r>
        <w:t>, Zhenya Song</w:t>
      </w:r>
      <w:r>
        <w:rPr>
          <w:vertAlign w:val="superscript"/>
        </w:rPr>
        <w:t>3</w:t>
      </w:r>
      <w:r>
        <w:t>, Qizhong Wu</w:t>
      </w:r>
      <w:r>
        <w:rPr>
          <w:vertAlign w:val="superscript"/>
        </w:rPr>
        <w:t>1</w:t>
      </w:r>
      <w:r>
        <w:t>, Huaqiong Cheng</w:t>
      </w:r>
      <w:r>
        <w:rPr>
          <w:vertAlign w:val="superscript"/>
        </w:rPr>
        <w:t>1</w:t>
      </w:r>
    </w:p>
    <w:p w14:paraId="2EFEB297" w14:textId="77777777" w:rsidR="00E76A53" w:rsidRDefault="00000000">
      <w:pPr>
        <w:pStyle w:val="Affiliation"/>
        <w:rPr>
          <w:sz w:val="24"/>
        </w:rPr>
      </w:pPr>
      <w:r>
        <w:rPr>
          <w:sz w:val="24"/>
          <w:vertAlign w:val="superscript"/>
        </w:rPr>
        <w:t>1</w:t>
      </w:r>
      <w:r>
        <w:rPr>
          <w:sz w:val="24"/>
        </w:rPr>
        <w:t>College of Global Change and Earth System Science (GCESS), Beijing Normal University, Beijing 100875, China</w:t>
      </w:r>
    </w:p>
    <w:p w14:paraId="7C160B71" w14:textId="77777777" w:rsidR="00E76A53" w:rsidRDefault="00000000">
      <w:pPr>
        <w:pStyle w:val="Affiliation"/>
        <w:rPr>
          <w:sz w:val="24"/>
        </w:rPr>
      </w:pPr>
      <w:r>
        <w:rPr>
          <w:sz w:val="24"/>
          <w:vertAlign w:val="superscript"/>
        </w:rPr>
        <w:t>2</w:t>
      </w:r>
      <w:r>
        <w:rPr>
          <w:sz w:val="24"/>
        </w:rPr>
        <w:t>Laboratory for Regional Oceanography and Numerical Modeling, Pilot National Laboratory for Marine Science and Technology, Qingdao 266237, China</w:t>
      </w:r>
    </w:p>
    <w:p w14:paraId="74C1DDEA" w14:textId="77777777" w:rsidR="00E76A53" w:rsidRDefault="00000000">
      <w:pPr>
        <w:pStyle w:val="Affiliation"/>
        <w:rPr>
          <w:sz w:val="24"/>
        </w:rPr>
      </w:pPr>
      <w:r>
        <w:rPr>
          <w:sz w:val="24"/>
          <w:vertAlign w:val="superscript"/>
        </w:rPr>
        <w:t>3</w:t>
      </w:r>
      <w:r>
        <w:rPr>
          <w:sz w:val="24"/>
        </w:rPr>
        <w:t>First Institute of Oceanography, and Key Laboratory of Marine Science and Numerical Modeling, Ministry of Natural Resources, Qingdao 266061, China</w:t>
      </w:r>
    </w:p>
    <w:p w14:paraId="4C6B618D" w14:textId="77777777" w:rsidR="00E76A53" w:rsidRDefault="00E76A53">
      <w:pPr>
        <w:pStyle w:val="Authors"/>
      </w:pPr>
    </w:p>
    <w:p w14:paraId="4E8A4EB1" w14:textId="77777777" w:rsidR="00E76A53" w:rsidRDefault="00000000">
      <w:pPr>
        <w:pStyle w:val="Correspondence"/>
        <w:rPr>
          <w:i/>
          <w:sz w:val="24"/>
        </w:rPr>
      </w:pPr>
      <w:r>
        <w:rPr>
          <w:i/>
          <w:sz w:val="24"/>
        </w:rPr>
        <w:t>Corresponding to: Lanning Wang (wangln@bnu.edu.cn)</w:t>
      </w:r>
    </w:p>
    <w:p w14:paraId="2AF9A86E" w14:textId="77777777" w:rsidR="00E76A53" w:rsidRDefault="00000000">
      <w:pPr>
        <w:widowControl/>
        <w:jc w:val="left"/>
        <w:rPr>
          <w:rFonts w:ascii="Times New Roman" w:eastAsia="宋体" w:hAnsi="Times New Roman" w:cs="Times New Roman"/>
          <w:sz w:val="28"/>
          <w:szCs w:val="28"/>
        </w:rPr>
      </w:pPr>
      <w:r>
        <w:rPr>
          <w:rFonts w:ascii="Times New Roman" w:eastAsia="宋体" w:hAnsi="Times New Roman" w:cs="Times New Roman"/>
          <w:sz w:val="28"/>
          <w:szCs w:val="28"/>
        </w:rPr>
        <w:br w:type="page"/>
      </w:r>
    </w:p>
    <w:p w14:paraId="46BF4C6B" w14:textId="77777777" w:rsidR="00E76A53" w:rsidRDefault="00000000">
      <w:pPr>
        <w:spacing w:beforeLines="100" w:before="312" w:afterLines="100" w:after="312"/>
        <w:rPr>
          <w:rFonts w:ascii="Times New Roman" w:eastAsia="宋体" w:hAnsi="Times New Roman" w:cs="Times New Roman"/>
          <w:b/>
          <w:bCs/>
          <w:sz w:val="24"/>
          <w:szCs w:val="24"/>
        </w:rPr>
      </w:pPr>
      <w:r>
        <w:rPr>
          <w:rFonts w:ascii="Times New Roman" w:eastAsia="宋体" w:hAnsi="Times New Roman" w:cs="Times New Roman"/>
          <w:b/>
          <w:bCs/>
          <w:sz w:val="24"/>
          <w:szCs w:val="24"/>
        </w:rPr>
        <w:lastRenderedPageBreak/>
        <w:t>Abstract:</w:t>
      </w:r>
    </w:p>
    <w:p w14:paraId="33E37126" w14:textId="4B18F271" w:rsidR="00E76A53" w:rsidRDefault="00000000">
      <w:pPr>
        <w:rPr>
          <w:rFonts w:ascii="Calibri" w:eastAsia="宋体" w:hAnsi="Calibri" w:cs="Times New Roman"/>
          <w:szCs w:val="21"/>
        </w:rPr>
      </w:pPr>
      <w:r>
        <w:rPr>
          <w:rFonts w:ascii="Times New Roman" w:eastAsia="宋体" w:hAnsi="Times New Roman" w:cs="Times New Roman"/>
          <w:sz w:val="24"/>
          <w:szCs w:val="24"/>
        </w:rPr>
        <w:t xml:space="preserve">Overestimation of precipitation over steep mountains is always a common bias of atmospheric general circulation models (AGCMs). One basic reason is the imperfection of parameterization scheme. Sub-grid topography has a non-negligible role in the dynamics of the actual atmosphere, and therefore the sub-grid topographic parameterization schemes have been the focus of model development. This study proposes a sub-grid parameterization scheme for topographic vertical motion in CAM5 to revise the original vertical velocity by adding the topographic vertical motion and then resulting a significant improvement of simulation in precipitation over steep mountains. The results show a better </w:t>
      </w:r>
      <w:bookmarkStart w:id="0" w:name="_Hlk114575656"/>
      <w:r>
        <w:rPr>
          <w:rFonts w:ascii="Times New Roman" w:eastAsia="宋体" w:hAnsi="Times New Roman" w:cs="Times New Roman"/>
          <w:sz w:val="24"/>
          <w:szCs w:val="24"/>
        </w:rPr>
        <w:t>improvement in precipitation simulation in steep mountains</w:t>
      </w:r>
      <w:bookmarkEnd w:id="0"/>
      <w:r>
        <w:rPr>
          <w:rFonts w:ascii="Times New Roman" w:eastAsia="宋体" w:hAnsi="Times New Roman" w:cs="Times New Roman"/>
          <w:sz w:val="24"/>
          <w:szCs w:val="24"/>
        </w:rPr>
        <w:t xml:space="preserve">, such as the steep edge of the Tibetan Plateau and the Andes. The positive deviations of the precipitation on the mountain tops and the negative deviations in the windward slope are revised. </w:t>
      </w:r>
      <w:bookmarkStart w:id="1" w:name="_Hlk114575733"/>
      <w:r>
        <w:rPr>
          <w:rFonts w:ascii="Times New Roman" w:eastAsia="宋体" w:hAnsi="Times New Roman" w:cs="Times New Roman"/>
          <w:sz w:val="24"/>
          <w:szCs w:val="24"/>
        </w:rPr>
        <w:t>The improved scheme of topographic vertical motion reduces the model biases of summer mean precipitation simulations by up to 48% (6.23 mm day</w:t>
      </w:r>
      <w:r>
        <w:rPr>
          <w:rFonts w:ascii="Times New Roman" w:eastAsia="宋体" w:hAnsi="Times New Roman" w:cs="Times New Roman"/>
          <w:sz w:val="18"/>
          <w:szCs w:val="18"/>
          <w:vertAlign w:val="superscript"/>
        </w:rPr>
        <w:t xml:space="preserve"> </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1</w:t>
      </w:r>
      <w:r>
        <w:rPr>
          <w:rFonts w:ascii="Times New Roman" w:eastAsia="楷体" w:hAnsi="Times New Roman" w:cs="Times New Roman"/>
          <w:sz w:val="24"/>
          <w:szCs w:val="24"/>
        </w:rPr>
        <w:t>)</w:t>
      </w:r>
      <w:r>
        <w:rPr>
          <w:rFonts w:ascii="Times New Roman" w:eastAsia="宋体" w:hAnsi="Times New Roman" w:cs="Times New Roman"/>
          <w:sz w:val="24"/>
          <w:szCs w:val="24"/>
        </w:rPr>
        <w:t xml:space="preserve"> on the mountain tops. The improvement of convective precipitation</w:t>
      </w:r>
      <w:r>
        <w:t xml:space="preserve"> (</w:t>
      </w:r>
      <w:r>
        <w:rPr>
          <w:rFonts w:ascii="Times New Roman" w:eastAsia="宋体" w:hAnsi="Times New Roman" w:cs="Times New Roman"/>
          <w:sz w:val="24"/>
          <w:szCs w:val="24"/>
        </w:rPr>
        <w:t>4.83 mm day</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1</w:t>
      </w:r>
      <w:r>
        <w:rPr>
          <w:rFonts w:ascii="Times New Roman" w:eastAsia="楷体" w:hAnsi="Times New Roman" w:cs="Times New Roman"/>
          <w:sz w:val="24"/>
          <w:szCs w:val="24"/>
        </w:rPr>
        <w:t xml:space="preserve">) </w:t>
      </w:r>
      <w:r>
        <w:rPr>
          <w:rFonts w:ascii="Times New Roman" w:eastAsia="宋体" w:hAnsi="Times New Roman" w:cs="Times New Roman"/>
          <w:sz w:val="24"/>
          <w:szCs w:val="24"/>
        </w:rPr>
        <w:t xml:space="preserve">contributes the most to the improvement of the total precipitation simulation. In addition, </w:t>
      </w:r>
      <w:r w:rsidR="001B2D63" w:rsidRPr="001B2D63">
        <w:rPr>
          <w:rFonts w:ascii="Times New Roman" w:eastAsia="宋体" w:hAnsi="Times New Roman" w:cs="Times New Roman"/>
          <w:sz w:val="24"/>
          <w:szCs w:val="24"/>
        </w:rPr>
        <w:t>We extend the dynamic lifting effect of topography from the lowest layer(Single experiment) to multiple layers, approaching the bottom model layers (Multi experiment)</w:t>
      </w:r>
      <w:r>
        <w:rPr>
          <w:rFonts w:ascii="Times New Roman" w:eastAsia="宋体" w:hAnsi="Times New Roman" w:cs="Times New Roman"/>
          <w:sz w:val="24"/>
          <w:szCs w:val="24"/>
        </w:rPr>
        <w:t>.</w:t>
      </w:r>
      <w:bookmarkEnd w:id="1"/>
      <w:r>
        <w:rPr>
          <w:rFonts w:ascii="Times New Roman" w:eastAsia="宋体" w:hAnsi="Times New Roman" w:cs="Times New Roman"/>
          <w:sz w:val="24"/>
          <w:szCs w:val="24"/>
        </w:rPr>
        <w:t xml:space="preserve"> Moreover, the water vapor transport in low-altitude regions in front of the windward slope is also considerably improved, leading to simulation</w:t>
      </w:r>
      <w:r>
        <w:rPr>
          <w:rFonts w:ascii="Times New Roman" w:eastAsia="宋体" w:hAnsi="Times New Roman" w:cs="Times New Roman" w:hint="eastAsia"/>
          <w:sz w:val="24"/>
          <w:szCs w:val="24"/>
        </w:rPr>
        <w:t>s</w:t>
      </w:r>
      <w:r>
        <w:rPr>
          <w:rFonts w:ascii="Times New Roman" w:eastAsia="宋体" w:hAnsi="Times New Roman" w:cs="Times New Roman"/>
          <w:sz w:val="24"/>
          <w:szCs w:val="24"/>
        </w:rPr>
        <w:t xml:space="preserve"> of much more realistic circulation patterns in the multi-layer scheme. Since the sub-grid parameterization scheme addresses the more detailed problem caused by topography, the water vapor is transported further to the northwest in the multi-layer scheme. The topographic vertical motion schemes in both the Single- and Multi-experiments can improve the model performance in simulating precipitation in all regions with complex terrain. </w:t>
      </w:r>
    </w:p>
    <w:p w14:paraId="37789533"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hint="eastAsia"/>
          <w:b/>
          <w:sz w:val="28"/>
          <w:szCs w:val="28"/>
        </w:rPr>
        <w:t xml:space="preserve">1 </w:t>
      </w:r>
      <w:r>
        <w:rPr>
          <w:rFonts w:ascii="Times New Roman" w:hAnsi="Times New Roman" w:cs="Times New Roman"/>
          <w:b/>
          <w:sz w:val="28"/>
          <w:szCs w:val="28"/>
        </w:rPr>
        <w:t>Introduction</w:t>
      </w:r>
    </w:p>
    <w:p w14:paraId="28008990" w14:textId="72F5D750"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Numerical models have been widely used and become an essential tool to predict and simulate the weather and climate. However, there are still large deviations compared with observations, especially for precipitation simulation and prediction. It is of great scientific and social relevance to accurately simulate precipitation by using atmospheric general circulation models (AGCMs). In particular, the Coupled Model Intercomparison Project Phase 5 (CMIP5) and Phase 6 (CMIP6) models always overestimate the precipitation in regions with steep topography, which ha</w:t>
      </w:r>
      <w:r>
        <w:rPr>
          <w:rFonts w:ascii="Times New Roman" w:eastAsia="宋体" w:hAnsi="Times New Roman" w:cs="Times New Roman" w:hint="eastAsia"/>
          <w:sz w:val="24"/>
          <w:szCs w:val="24"/>
        </w:rPr>
        <w:t>ve</w:t>
      </w:r>
      <w:r>
        <w:rPr>
          <w:rFonts w:ascii="Times New Roman" w:eastAsia="宋体" w:hAnsi="Times New Roman" w:cs="Times New Roman"/>
          <w:sz w:val="24"/>
          <w:szCs w:val="24"/>
        </w:rPr>
        <w:t xml:space="preserve"> been investigated in previous studies (Liu et al. 2014; </w:t>
      </w:r>
      <w:r>
        <w:rPr>
          <w:rFonts w:ascii="Times New Roman" w:eastAsia="宋体" w:hAnsi="Times New Roman" w:cs="Times New Roman"/>
          <w:color w:val="222222"/>
          <w:sz w:val="24"/>
          <w:szCs w:val="24"/>
          <w:shd w:val="clear" w:color="auto" w:fill="FFFFFF"/>
        </w:rPr>
        <w:t>Akinsanola et al. 2021; Cui et al. 2021</w:t>
      </w:r>
      <w:r>
        <w:rPr>
          <w:rFonts w:ascii="Times New Roman" w:eastAsia="宋体" w:hAnsi="Times New Roman" w:cs="Times New Roman"/>
          <w:sz w:val="24"/>
          <w:szCs w:val="24"/>
        </w:rPr>
        <w:t>). Jia et al. (2019) found that all CMIP5 models overestimate the monthly precipitation over the Tibetan Plateau by an average of 48.2 mm (~150%),</w:t>
      </w:r>
      <w:r>
        <w:rPr>
          <w:rFonts w:ascii="Times New Roman" w:eastAsia="宋体" w:hAnsi="Times New Roman" w:cs="Times New Roman"/>
          <w:color w:val="FF0000"/>
          <w:sz w:val="24"/>
          <w:szCs w:val="24"/>
        </w:rPr>
        <w:t xml:space="preserve"> </w:t>
      </w:r>
      <w:r>
        <w:rPr>
          <w:rFonts w:ascii="Times New Roman" w:eastAsia="宋体" w:hAnsi="Times New Roman" w:cs="Times New Roman"/>
          <w:sz w:val="24"/>
          <w:szCs w:val="24"/>
        </w:rPr>
        <w:t xml:space="preserve">with larger biases during spring and summer. Zhu and Yang (2020) also </w:t>
      </w:r>
      <w:r w:rsidR="001B2D63" w:rsidRPr="001B2D63">
        <w:rPr>
          <w:rFonts w:ascii="Times New Roman" w:eastAsia="宋体" w:hAnsi="Times New Roman" w:cs="Times New Roman"/>
          <w:sz w:val="24"/>
          <w:szCs w:val="24"/>
        </w:rPr>
        <w:t>found that the model biases over the Tibetan Plateau in the CMIP6 models were even larger(more positive) than in the  CMIP5 models</w:t>
      </w:r>
      <w:r>
        <w:rPr>
          <w:rFonts w:ascii="Times New Roman" w:eastAsia="宋体" w:hAnsi="Times New Roman" w:cs="Times New Roman"/>
          <w:sz w:val="24"/>
          <w:szCs w:val="24"/>
        </w:rPr>
        <w:t xml:space="preserve">. Similar problems also exist in precipitation simulations in other mountain regions with steep terrains, such as the Andes in South America, the Rocky Mountains of North America, and Indonesia. </w:t>
      </w:r>
      <w:r w:rsidR="001B2D63" w:rsidRPr="001B2D63">
        <w:rPr>
          <w:rFonts w:ascii="Times New Roman" w:eastAsia="宋体" w:hAnsi="Times New Roman" w:cs="Times New Roman"/>
          <w:sz w:val="24"/>
          <w:szCs w:val="24"/>
        </w:rPr>
        <w:t>Excessive precipitation was simulated in both weather/climate models and global/regional models in regions with steep and high mountains, but less precipitation before the foothills of the steep slope (Done et al., 2004; Kunz and Kottmeier, 2006; Alpert et al., 2012; Chao 2012; Navale and Singh, 2020)</w:t>
      </w:r>
      <w:r>
        <w:rPr>
          <w:rFonts w:ascii="Times New Roman" w:eastAsia="宋体" w:hAnsi="Times New Roman" w:cs="Times New Roman"/>
          <w:sz w:val="24"/>
          <w:szCs w:val="24"/>
        </w:rPr>
        <w:t xml:space="preserve">. </w:t>
      </w:r>
    </w:p>
    <w:p w14:paraId="37AA3074" w14:textId="506372AF"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The reasons for excessive precipitation simulated by numerical models over steep mountains are complex, involving the horizontal resolution, dynamical </w:t>
      </w:r>
      <w:r w:rsidR="001B2D63" w:rsidRPr="001B2D63">
        <w:rPr>
          <w:rFonts w:ascii="Times New Roman" w:eastAsia="宋体" w:hAnsi="Times New Roman" w:cs="Times New Roman"/>
          <w:sz w:val="24"/>
          <w:szCs w:val="24"/>
        </w:rPr>
        <w:t>framework</w:t>
      </w:r>
      <w:r>
        <w:rPr>
          <w:rFonts w:ascii="Times New Roman" w:eastAsia="宋体" w:hAnsi="Times New Roman" w:cs="Times New Roman"/>
          <w:sz w:val="24"/>
          <w:szCs w:val="24"/>
        </w:rPr>
        <w:t>, physical processes, and their complicated interactions (Liang et al., 2021). There is plenty of evidence of a close relationship between orography and precipitation patterns at spatial scales of a few kilometers, even in climatological precipitation rates. Thus, improving model resolution is a possible way to improve the biases of precipitation simulations. Kimoto et al. (2005) found that higher-resolution versions of General Circulation Models (GCMs) can better characterize the frequency distributions of different precipitation patterns. Similar results can be found in regional models. Lin et al. (2018) compared the simulations with resolutions of 30</w:t>
      </w:r>
      <w:r w:rsidR="002E1754">
        <w:rPr>
          <w:rFonts w:ascii="Times New Roman" w:eastAsia="宋体" w:hAnsi="Times New Roman" w:cs="Times New Roman"/>
          <w:sz w:val="24"/>
          <w:szCs w:val="24"/>
        </w:rPr>
        <w:t xml:space="preserve"> </w:t>
      </w:r>
      <w:r>
        <w:rPr>
          <w:rFonts w:ascii="Times New Roman" w:eastAsia="宋体" w:hAnsi="Times New Roman" w:cs="Times New Roman"/>
          <w:sz w:val="24"/>
          <w:szCs w:val="24"/>
        </w:rPr>
        <w:t>km, 10</w:t>
      </w:r>
      <w:r w:rsidR="002E1754">
        <w:rPr>
          <w:rFonts w:ascii="Times New Roman" w:eastAsia="宋体" w:hAnsi="Times New Roman" w:cs="Times New Roman"/>
          <w:sz w:val="24"/>
          <w:szCs w:val="24"/>
        </w:rPr>
        <w:t xml:space="preserve"> </w:t>
      </w:r>
      <w:r>
        <w:rPr>
          <w:rFonts w:ascii="Times New Roman" w:eastAsia="宋体" w:hAnsi="Times New Roman" w:cs="Times New Roman"/>
          <w:sz w:val="24"/>
          <w:szCs w:val="24"/>
        </w:rPr>
        <w:t>km and</w:t>
      </w:r>
      <w:r w:rsidR="002E1754">
        <w:rPr>
          <w:rFonts w:ascii="Times New Roman" w:eastAsia="宋体" w:hAnsi="Times New Roman" w:cs="Times New Roman"/>
          <w:sz w:val="24"/>
          <w:szCs w:val="24"/>
        </w:rPr>
        <w:t xml:space="preserve"> </w:t>
      </w:r>
      <w:r>
        <w:rPr>
          <w:rFonts w:ascii="Times New Roman" w:eastAsia="宋体" w:hAnsi="Times New Roman" w:cs="Times New Roman"/>
          <w:sz w:val="24"/>
          <w:szCs w:val="24"/>
        </w:rPr>
        <w:t xml:space="preserve">2 km based on the Weather Research and Forecasting model, and they found that higher-resolution simulations can reduce positive precipitation biases over the Tibetan Plateau. </w:t>
      </w:r>
      <w:r w:rsidR="001B2D63" w:rsidRPr="001B2D63">
        <w:rPr>
          <w:rFonts w:ascii="Times New Roman" w:eastAsia="宋体" w:hAnsi="Times New Roman" w:cs="Times New Roman"/>
          <w:sz w:val="24"/>
          <w:szCs w:val="24"/>
        </w:rPr>
        <w:t>However, increasing spatial resolution does not always improve precipitation simulations in some areas, for example, in lowlands of southeastern England (Chan et al. 2013; Wang et al. 2017)</w:t>
      </w:r>
      <w:r>
        <w:rPr>
          <w:rFonts w:ascii="Times New Roman" w:eastAsia="宋体" w:hAnsi="Times New Roman" w:cs="Times New Roman"/>
          <w:sz w:val="24"/>
          <w:szCs w:val="24"/>
        </w:rPr>
        <w:t xml:space="preserve">. The relationship between the spatial resolution of models and the quality of precipitation simulation remains elusive. Additionally, high-resolution climate models require a large amount of computation and storage. Some parameterization schemes are also proposed to improve the accuracy of precipitation simulation, which mainly focus on the parameterization schemes for physical processes. For example, in the past 20 years, much effort has been made to develop stochastic convection schemes and apply them to numerical models, resulting in some substantial improvements in precipitation simulation (Chen et al. 2010; Fonseca et al. 2015; Wang and Zhang, 2016; Attada et al. 2020). </w:t>
      </w:r>
    </w:p>
    <w:p w14:paraId="1711B580" w14:textId="47D0779E" w:rsidR="00E76A53" w:rsidRDefault="00000000" w:rsidP="001B2D63">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The simulation bias of topographic precipitation has been a challenge for numerical models. Most studies are based on improving model resolution and the parameterization schemes of physical processes, but few studies focused on the modification of the dynamic </w:t>
      </w:r>
      <w:r w:rsidR="001B2D63" w:rsidRPr="001B2D63">
        <w:rPr>
          <w:rFonts w:ascii="Times New Roman" w:eastAsia="宋体" w:hAnsi="Times New Roman" w:cs="Times New Roman"/>
          <w:sz w:val="24"/>
          <w:szCs w:val="24"/>
        </w:rPr>
        <w:t>framework</w:t>
      </w:r>
      <w:r>
        <w:rPr>
          <w:rFonts w:ascii="Times New Roman" w:eastAsia="宋体" w:hAnsi="Times New Roman" w:cs="Times New Roman"/>
          <w:sz w:val="24"/>
          <w:szCs w:val="24"/>
        </w:rPr>
        <w:t xml:space="preserve"> for numerical models, especially the dynamic lifting. At spatial scales greater than approximately 40 km and for mountain ranges exceeding approximately 1.5 km in height, the maximum condensation is generated over low, steep and windward slopes</w:t>
      </w:r>
      <w:r>
        <w:t xml:space="preserve"> </w:t>
      </w:r>
      <w:r>
        <w:rPr>
          <w:rFonts w:ascii="Times New Roman" w:eastAsia="宋体" w:hAnsi="Times New Roman" w:cs="Times New Roman"/>
          <w:sz w:val="24"/>
          <w:szCs w:val="24"/>
        </w:rPr>
        <w:t>due to upslope flow (Roe 2005). An important quantity of orographic precipitation is water vapor flux. In numerical models,</w:t>
      </w:r>
      <w:r>
        <w:t xml:space="preserve"> </w:t>
      </w:r>
      <w:r>
        <w:rPr>
          <w:rFonts w:ascii="Times New Roman" w:eastAsia="宋体" w:hAnsi="Times New Roman" w:cs="Times New Roman"/>
          <w:sz w:val="24"/>
          <w:szCs w:val="24"/>
        </w:rPr>
        <w:t>Yu et al. (2015) replaced the semi-Lagrangian method with a finite-difference approach for the trace transport algorithm to restrain the "overshoot" of water vapor to the high-altitude region of the windward slopes.</w:t>
      </w:r>
      <w:r>
        <w:t xml:space="preserve"> </w:t>
      </w:r>
      <w:r>
        <w:rPr>
          <w:rFonts w:ascii="Times New Roman" w:eastAsia="宋体" w:hAnsi="Times New Roman" w:cs="Times New Roman"/>
          <w:sz w:val="24"/>
          <w:szCs w:val="24"/>
        </w:rPr>
        <w:t xml:space="preserve">Codron and Sadourny (2002) tested the advected water vapor with respect to saturation values and redistributed it accordingly over the grid points found along the advecting path. Actually, these two schemes add the limitation of </w:t>
      </w:r>
      <w:r w:rsidR="001B2D63" w:rsidRPr="001B2D63">
        <w:rPr>
          <w:rFonts w:ascii="Times New Roman" w:eastAsia="宋体" w:hAnsi="Times New Roman" w:cs="Times New Roman"/>
          <w:sz w:val="24"/>
          <w:szCs w:val="24"/>
        </w:rPr>
        <w:t>supersaturation</w:t>
      </w:r>
      <w:r>
        <w:rPr>
          <w:rFonts w:ascii="Times New Roman" w:eastAsia="宋体" w:hAnsi="Times New Roman" w:cs="Times New Roman"/>
          <w:sz w:val="24"/>
          <w:szCs w:val="24"/>
        </w:rPr>
        <w:t xml:space="preserve"> for water vapor advection, which may cause partial precipitation</w:t>
      </w:r>
      <w:r>
        <w:rPr>
          <w:rFonts w:ascii="Times New Roman" w:eastAsia="宋体" w:hAnsi="Times New Roman" w:cs="Times New Roman"/>
          <w:color w:val="FF0000"/>
          <w:sz w:val="24"/>
          <w:szCs w:val="24"/>
        </w:rPr>
        <w:t xml:space="preserve"> </w:t>
      </w:r>
      <w:r>
        <w:rPr>
          <w:rFonts w:ascii="Times New Roman" w:eastAsia="宋体" w:hAnsi="Times New Roman" w:cs="Times New Roman"/>
          <w:sz w:val="24"/>
          <w:szCs w:val="24"/>
        </w:rPr>
        <w:t xml:space="preserve">when the water vapor advects upward mountain slopes along terrain-following coordinates. Less water vapor is transported to summits and plateaus and settles in windward slopes and foothills in advance, thus improving precipitation simulations in steep mountains. </w:t>
      </w:r>
      <w:r w:rsidR="001B2D63" w:rsidRPr="001B2D63">
        <w:rPr>
          <w:rFonts w:ascii="Times New Roman" w:eastAsia="宋体" w:hAnsi="Times New Roman" w:cs="Times New Roman"/>
          <w:sz w:val="24"/>
          <w:szCs w:val="24"/>
        </w:rPr>
        <w:t>These studies only improved the scheme of water vapor advection</w:t>
      </w:r>
      <w:r w:rsidR="001B2D63">
        <w:rPr>
          <w:rFonts w:ascii="Times New Roman" w:eastAsia="宋体" w:hAnsi="Times New Roman" w:cs="Times New Roman" w:hint="eastAsia"/>
          <w:sz w:val="24"/>
          <w:szCs w:val="24"/>
        </w:rPr>
        <w:t xml:space="preserve"> </w:t>
      </w:r>
      <w:r w:rsidR="001B2D63" w:rsidRPr="001B2D63">
        <w:rPr>
          <w:rFonts w:ascii="Times New Roman" w:eastAsia="宋体" w:hAnsi="Times New Roman" w:cs="Times New Roman"/>
          <w:sz w:val="24"/>
          <w:szCs w:val="24"/>
        </w:rPr>
        <w:t>scheme. Shen et al. (2007) proposed a sub-grid correction parameterization scheme for pressure tendency by considering slope and orientation according to the disturbance lifting caused by each fine grid</w:t>
      </w:r>
      <w:r>
        <w:rPr>
          <w:rFonts w:ascii="Times New Roman" w:eastAsia="宋体" w:hAnsi="Times New Roman" w:cs="Times New Roman"/>
          <w:sz w:val="24"/>
          <w:szCs w:val="24"/>
        </w:rPr>
        <w:t>. Based on this, the precipitation simulation in the P-</w:t>
      </w:r>
      <w:r>
        <w:rPr>
          <w:rFonts w:ascii="Times New Roman" w:eastAsia="宋体" w:hAnsi="Times New Roman" w:cs="Times New Roman" w:hint="eastAsia"/>
          <w:sz w:val="24"/>
          <w:szCs w:val="24"/>
        </w:rPr>
        <w:t>σ</w:t>
      </w:r>
      <w:r>
        <w:rPr>
          <w:rFonts w:ascii="Times New Roman" w:eastAsia="宋体" w:hAnsi="Times New Roman" w:cs="Times New Roman"/>
          <w:sz w:val="24"/>
          <w:szCs w:val="24"/>
        </w:rPr>
        <w:t xml:space="preserve"> regional climate model of Nanjing University over complex terrain areas was improved. But it is only a case study of precipitation simulation in East China. </w:t>
      </w:r>
    </w:p>
    <w:p w14:paraId="1D6C9D6F" w14:textId="269759D3"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As mentioned above, sufficient water vapor and dynamic lifting are the necessary conditions for precipitation (Shen et al. 2021). Considering the shortcomings of the current dynamic lifting</w:t>
      </w:r>
      <w:r>
        <w:t xml:space="preserve"> </w:t>
      </w:r>
      <w:r>
        <w:rPr>
          <w:rFonts w:ascii="Times New Roman" w:eastAsia="宋体" w:hAnsi="Times New Roman" w:cs="Times New Roman"/>
          <w:sz w:val="24"/>
          <w:szCs w:val="24"/>
        </w:rPr>
        <w:t xml:space="preserve">studies for numerical models, we propose a sub-grid parameterization scheme of topographic vertical motion and apply in CAM5, one of global atmosphere general circulation models, to improve precipitation simulation in areas with complex terrain. In particular, we extend the dynamic lifting effect of topography on airflow from the lowest model layer to multiple layers and consider the influence of the decay of vertical airflow. </w:t>
      </w:r>
    </w:p>
    <w:p w14:paraId="6AE06C0F"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The remainder of this paper is organized as follows. Section 2 describes the modeling context and the data used in this research and details the sub-grid parameterization scheme for topographic vertical velocity. Section3 analyzes and compares the precipitation simulated by two topographic vertical velocity experiments. The main conclusions and discussion are presented in section 4. </w:t>
      </w:r>
    </w:p>
    <w:p w14:paraId="3E9E7941"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hint="eastAsia"/>
          <w:b/>
          <w:sz w:val="28"/>
          <w:szCs w:val="28"/>
        </w:rPr>
        <w:t xml:space="preserve">2 </w:t>
      </w:r>
      <w:r>
        <w:rPr>
          <w:rFonts w:ascii="Times New Roman" w:hAnsi="Times New Roman" w:cs="Times New Roman"/>
          <w:b/>
          <w:sz w:val="28"/>
          <w:szCs w:val="28"/>
        </w:rPr>
        <w:t>Model, methodology and experiments</w:t>
      </w:r>
    </w:p>
    <w:p w14:paraId="609E8B8D"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b/>
          <w:sz w:val="28"/>
          <w:szCs w:val="28"/>
        </w:rPr>
        <w:t>2.1 CAM5-SE</w:t>
      </w:r>
    </w:p>
    <w:p w14:paraId="3D5C915D" w14:textId="0B6D85CC"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The models used in this study are the Community Earth System Model (CESM; Hurrell et al. 2013) version 1.2.1. from the National Center for Atmospheric Research (NCAR) and</w:t>
      </w:r>
      <w:r>
        <w:t xml:space="preserve"> </w:t>
      </w:r>
      <w:r>
        <w:rPr>
          <w:rFonts w:ascii="Times New Roman" w:eastAsia="宋体" w:hAnsi="Times New Roman" w:cs="Times New Roman"/>
          <w:sz w:val="24"/>
          <w:szCs w:val="24"/>
        </w:rPr>
        <w:t xml:space="preserve">the Community Atmospheric Model version 5 (CAM5; Neale et al. 2010) with the new spectral element dynamical </w:t>
      </w:r>
      <w:r w:rsidR="001B2D63">
        <w:rPr>
          <w:rFonts w:ascii="Times New Roman" w:eastAsia="宋体" w:hAnsi="Times New Roman" w:cs="Times New Roman"/>
          <w:sz w:val="24"/>
          <w:szCs w:val="24"/>
        </w:rPr>
        <w:t>core</w:t>
      </w:r>
      <w:r>
        <w:rPr>
          <w:rFonts w:ascii="Times New Roman" w:eastAsia="宋体" w:hAnsi="Times New Roman" w:cs="Times New Roman"/>
          <w:sz w:val="24"/>
          <w:szCs w:val="24"/>
        </w:rPr>
        <w:t xml:space="preserve"> (CAM-SE). The CAM-SE is based on the High-Order Method Modeling Environment spectral element method (HOMME, Dennis et al. 2012) and adopts a conventional vector-invariant form of the moist primitive equations. Noted that the CAM-SE uses the vector-invariant form of the momentum equation instead of the vorticity-divergence equation. The pressure vertical velocity can be expressed by </w:t>
      </w:r>
      <m:oMath>
        <m:r>
          <w:rPr>
            <w:rFonts w:ascii="Cambria Math" w:eastAsia="宋体" w:hAnsi="Cambria Math" w:cs="Times New Roman"/>
            <w:sz w:val="24"/>
            <w:szCs w:val="24"/>
          </w:rPr>
          <m:t>ω=</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D</m:t>
            </m:r>
          </m:e>
          <m:sub>
            <m:r>
              <w:rPr>
                <w:rFonts w:ascii="Cambria Math" w:eastAsia="宋体" w:hAnsi="Cambria Math" w:cs="Times New Roman"/>
                <w:sz w:val="24"/>
                <w:szCs w:val="24"/>
              </w:rPr>
              <m:t>p</m:t>
            </m:r>
          </m:sub>
        </m:sSub>
        <m:r>
          <w:rPr>
            <w:rFonts w:ascii="Cambria Math" w:eastAsia="宋体" w:hAnsi="Cambria Math" w:cs="Times New Roman"/>
            <w:sz w:val="24"/>
            <w:szCs w:val="24"/>
          </w:rPr>
          <m:t>/</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D</m:t>
            </m:r>
          </m:e>
          <m:sub>
            <m:r>
              <w:rPr>
                <w:rFonts w:ascii="Cambria Math" w:eastAsia="宋体" w:hAnsi="Cambria Math" w:cs="Times New Roman"/>
                <w:sz w:val="24"/>
                <w:szCs w:val="24"/>
              </w:rPr>
              <m:t>t</m:t>
            </m:r>
          </m:sub>
        </m:sSub>
      </m:oMath>
      <w:r>
        <w:rPr>
          <w:rFonts w:ascii="Times New Roman" w:eastAsia="宋体" w:hAnsi="Times New Roman" w:cs="Times New Roman"/>
          <w:sz w:val="24"/>
          <w:szCs w:val="24"/>
        </w:rPr>
        <w:t>, as shown in Eq. (1).</w:t>
      </w:r>
    </w:p>
    <w:p w14:paraId="23418144" w14:textId="77777777" w:rsidR="00E76A53" w:rsidRDefault="00000000">
      <w:pPr>
        <w:spacing w:beforeLines="100" w:before="312" w:afterLines="100" w:after="312"/>
        <w:ind w:firstLineChars="200" w:firstLine="480"/>
        <w:rPr>
          <w:rFonts w:ascii="Times New Roman" w:eastAsia="宋体" w:hAnsi="Times New Roman" w:cs="Times New Roman"/>
          <w:sz w:val="24"/>
          <w:szCs w:val="24"/>
        </w:rPr>
      </w:pPr>
      <m:oMathPara>
        <m:oMath>
          <m:r>
            <w:rPr>
              <w:rFonts w:ascii="Cambria Math" w:eastAsia="宋体" w:hAnsi="Cambria Math" w:cs="Times New Roman"/>
              <w:sz w:val="24"/>
              <w:szCs w:val="24"/>
            </w:rPr>
            <m:t>ω=</m:t>
          </m:r>
          <m:f>
            <m:fPr>
              <m:ctrlPr>
                <w:rPr>
                  <w:rFonts w:ascii="Cambria Math" w:eastAsia="宋体" w:hAnsi="Cambria Math" w:cs="Times New Roman"/>
                  <w:sz w:val="24"/>
                  <w:szCs w:val="24"/>
                </w:rPr>
              </m:ctrlPr>
            </m:fPr>
            <m:num>
              <m:r>
                <m:rPr>
                  <m:sty m:val="p"/>
                </m:rPr>
                <w:rPr>
                  <w:rFonts w:ascii="Cambria Math" w:eastAsia="宋体" w:hAnsi="Cambria Math" w:cs="Times New Roman"/>
                  <w:sz w:val="24"/>
                  <w:szCs w:val="24"/>
                </w:rPr>
                <m:t>∂</m:t>
              </m:r>
              <m:r>
                <w:rPr>
                  <w:rFonts w:ascii="Cambria Math" w:eastAsia="宋体" w:hAnsi="Cambria Math" w:cs="Times New Roman"/>
                  <w:sz w:val="24"/>
                  <w:szCs w:val="24"/>
                </w:rPr>
                <m:t>p</m:t>
              </m:r>
            </m:num>
            <m:den>
              <m:r>
                <m:rPr>
                  <m:sty m:val="p"/>
                </m:rPr>
                <w:rPr>
                  <w:rFonts w:ascii="Cambria Math" w:eastAsia="宋体" w:hAnsi="Cambria Math" w:cs="Times New Roman"/>
                  <w:sz w:val="24"/>
                  <w:szCs w:val="24"/>
                </w:rPr>
                <m:t>∂</m:t>
              </m:r>
              <m:r>
                <w:rPr>
                  <w:rFonts w:ascii="Cambria Math" w:eastAsia="宋体" w:hAnsi="Cambria Math" w:cs="Times New Roman"/>
                  <w:sz w:val="24"/>
                  <w:szCs w:val="24"/>
                </w:rPr>
                <m:t>t</m:t>
              </m:r>
            </m:den>
          </m:f>
          <m:r>
            <w:rPr>
              <w:rFonts w:ascii="Cambria Math" w:eastAsia="宋体" w:hAnsi="Cambria Math" w:cs="Times New Roman"/>
              <w:sz w:val="24"/>
              <w:szCs w:val="24"/>
            </w:rPr>
            <m:t>+</m:t>
          </m:r>
          <m:acc>
            <m:accPr>
              <m:chr m:val="⃗"/>
              <m:ctrlPr>
                <w:rPr>
                  <w:rFonts w:ascii="Cambria Math" w:eastAsia="宋体" w:hAnsi="Cambria Math" w:cs="Times New Roman"/>
                  <w:sz w:val="24"/>
                  <w:szCs w:val="24"/>
                </w:rPr>
              </m:ctrlPr>
            </m:accPr>
            <m:e>
              <m:r>
                <w:rPr>
                  <w:rFonts w:ascii="Cambria Math" w:eastAsia="宋体" w:hAnsi="Cambria Math" w:cs="Times New Roman"/>
                  <w:sz w:val="24"/>
                  <w:szCs w:val="24"/>
                </w:rPr>
                <m:t>u</m:t>
              </m:r>
            </m:e>
          </m:acc>
          <m:r>
            <w:rPr>
              <w:rFonts w:ascii="Cambria Math" w:eastAsia="宋体" w:hAnsi="Cambria Math" w:cs="Times New Roman"/>
              <w:sz w:val="24"/>
              <w:szCs w:val="24"/>
            </w:rPr>
            <m:t>⋅</m:t>
          </m:r>
          <m:r>
            <m:rPr>
              <m:sty m:val="p"/>
            </m:rPr>
            <w:rPr>
              <w:rFonts w:ascii="Cambria Math" w:eastAsia="宋体" w:hAnsi="Cambria Math" w:cs="Times New Roman"/>
              <w:sz w:val="24"/>
              <w:szCs w:val="24"/>
            </w:rPr>
            <m:t>∇</m:t>
          </m:r>
          <m:r>
            <w:rPr>
              <w:rFonts w:ascii="Cambria Math" w:eastAsia="宋体" w:hAnsi="Cambria Math" w:cs="Times New Roman"/>
              <w:sz w:val="24"/>
              <w:szCs w:val="24"/>
            </w:rPr>
            <m:t>p+</m:t>
          </m:r>
          <m:acc>
            <m:accPr>
              <m:chr m:val="̇"/>
              <m:ctrlPr>
                <w:rPr>
                  <w:rFonts w:ascii="Cambria Math" w:eastAsia="宋体" w:hAnsi="Cambria Math" w:cs="Times New Roman"/>
                  <w:sz w:val="24"/>
                  <w:szCs w:val="24"/>
                </w:rPr>
              </m:ctrlPr>
            </m:accPr>
            <m:e>
              <m:r>
                <w:rPr>
                  <w:rFonts w:ascii="Cambria Math" w:eastAsia="宋体" w:hAnsi="Cambria Math" w:cs="Times New Roman"/>
                  <w:sz w:val="24"/>
                  <w:szCs w:val="24"/>
                </w:rPr>
                <m:t>η</m:t>
              </m:r>
            </m:e>
          </m:acc>
          <m:f>
            <m:fPr>
              <m:ctrlPr>
                <w:rPr>
                  <w:rFonts w:ascii="Cambria Math" w:eastAsia="宋体" w:hAnsi="Cambria Math" w:cs="Times New Roman"/>
                  <w:sz w:val="24"/>
                  <w:szCs w:val="24"/>
                </w:rPr>
              </m:ctrlPr>
            </m:fPr>
            <m:num>
              <m:r>
                <m:rPr>
                  <m:sty m:val="p"/>
                </m:rPr>
                <w:rPr>
                  <w:rFonts w:ascii="Cambria Math" w:eastAsia="宋体" w:hAnsi="Cambria Math" w:cs="Times New Roman"/>
                  <w:sz w:val="24"/>
                  <w:szCs w:val="24"/>
                </w:rPr>
                <m:t>∂</m:t>
              </m:r>
              <m:r>
                <w:rPr>
                  <w:rFonts w:ascii="Cambria Math" w:eastAsia="宋体" w:hAnsi="Cambria Math" w:cs="Times New Roman"/>
                  <w:sz w:val="24"/>
                  <w:szCs w:val="24"/>
                </w:rPr>
                <m:t>p</m:t>
              </m:r>
            </m:num>
            <m:den>
              <m:r>
                <m:rPr>
                  <m:sty m:val="p"/>
                </m:rPr>
                <w:rPr>
                  <w:rFonts w:ascii="Cambria Math" w:eastAsia="宋体" w:hAnsi="Cambria Math" w:cs="Times New Roman"/>
                  <w:sz w:val="24"/>
                  <w:szCs w:val="24"/>
                </w:rPr>
                <m:t>∂</m:t>
              </m:r>
              <m:r>
                <w:rPr>
                  <w:rFonts w:ascii="Cambria Math" w:eastAsia="宋体" w:hAnsi="Cambria Math" w:cs="Times New Roman"/>
                  <w:sz w:val="24"/>
                  <w:szCs w:val="24"/>
                </w:rPr>
                <m:t>η</m:t>
              </m:r>
            </m:den>
          </m:f>
          <m:r>
            <w:rPr>
              <w:rFonts w:ascii="Cambria Math" w:eastAsia="宋体" w:hAnsi="Cambria Math" w:cs="Times New Roman"/>
              <w:sz w:val="24"/>
              <w:szCs w:val="24"/>
            </w:rPr>
            <m:t>=</m:t>
          </m:r>
          <m:acc>
            <m:accPr>
              <m:chr m:val="⃗"/>
              <m:ctrlPr>
                <w:rPr>
                  <w:rFonts w:ascii="Cambria Math" w:eastAsia="宋体" w:hAnsi="Cambria Math" w:cs="Times New Roman"/>
                  <w:sz w:val="24"/>
                  <w:szCs w:val="24"/>
                </w:rPr>
              </m:ctrlPr>
            </m:accPr>
            <m:e>
              <m:r>
                <w:rPr>
                  <w:rFonts w:ascii="Cambria Math" w:eastAsia="宋体" w:hAnsi="Cambria Math" w:cs="Times New Roman"/>
                  <w:sz w:val="24"/>
                  <w:szCs w:val="24"/>
                </w:rPr>
                <m:t>u</m:t>
              </m:r>
            </m:e>
          </m:acc>
          <m:r>
            <w:rPr>
              <w:rFonts w:ascii="Cambria Math" w:eastAsia="宋体" w:hAnsi="Cambria Math" w:cs="Times New Roman"/>
              <w:sz w:val="24"/>
              <w:szCs w:val="24"/>
            </w:rPr>
            <m:t>⋅</m:t>
          </m:r>
          <m:r>
            <m:rPr>
              <m:sty m:val="p"/>
            </m:rPr>
            <w:rPr>
              <w:rFonts w:ascii="Cambria Math" w:eastAsia="宋体" w:hAnsi="Cambria Math" w:cs="Times New Roman"/>
              <w:sz w:val="24"/>
              <w:szCs w:val="24"/>
            </w:rPr>
            <m:t>∇</m:t>
          </m:r>
          <m:r>
            <w:rPr>
              <w:rFonts w:ascii="Cambria Math" w:eastAsia="宋体" w:hAnsi="Cambria Math" w:cs="Times New Roman"/>
              <w:sz w:val="24"/>
              <w:szCs w:val="24"/>
            </w:rPr>
            <m:t>p-</m:t>
          </m:r>
          <m:nary>
            <m:naryPr>
              <m:limLoc m:val="subSup"/>
              <m:grow m:val="1"/>
              <m:ctrlPr>
                <w:rPr>
                  <w:rFonts w:ascii="Cambria Math" w:eastAsia="宋体" w:hAnsi="Cambria Math" w:cs="Times New Roman"/>
                  <w:sz w:val="24"/>
                  <w:szCs w:val="24"/>
                </w:rPr>
              </m:ctrlPr>
            </m:naryPr>
            <m:sub>
              <m:sSub>
                <m:sSubPr>
                  <m:ctrlPr>
                    <w:rPr>
                      <w:rFonts w:ascii="Cambria Math" w:eastAsia="宋体" w:hAnsi="Cambria Math" w:cs="Times New Roman"/>
                      <w:sz w:val="24"/>
                      <w:szCs w:val="24"/>
                    </w:rPr>
                  </m:ctrlPr>
                </m:sSubPr>
                <m:e>
                  <m:r>
                    <w:rPr>
                      <w:rFonts w:ascii="Cambria Math" w:eastAsia="宋体" w:hAnsi="Cambria Math" w:cs="Times New Roman"/>
                      <w:sz w:val="24"/>
                      <w:szCs w:val="24"/>
                    </w:rPr>
                    <m:t>η</m:t>
                  </m:r>
                </m:e>
                <m:sub>
                  <m:r>
                    <m:rPr>
                      <m:sty m:val="p"/>
                    </m:rPr>
                    <w:rPr>
                      <w:rFonts w:ascii="Cambria Math" w:eastAsia="宋体" w:hAnsi="Cambria Math" w:cs="Times New Roman"/>
                      <w:sz w:val="24"/>
                      <w:szCs w:val="24"/>
                    </w:rPr>
                    <m:t>top</m:t>
                  </m:r>
                </m:sub>
              </m:sSub>
            </m:sub>
            <m:sup>
              <m:r>
                <w:rPr>
                  <w:rFonts w:ascii="Cambria Math" w:eastAsia="宋体" w:hAnsi="Cambria Math" w:cs="Times New Roman"/>
                  <w:sz w:val="24"/>
                  <w:szCs w:val="24"/>
                </w:rPr>
                <m:t>η</m:t>
              </m:r>
            </m:sup>
            <m:e>
              <m:r>
                <w:rPr>
                  <w:rFonts w:ascii="Cambria Math" w:eastAsia="宋体" w:hAnsi="Cambria Math" w:cs="Times New Roman"/>
                  <w:sz w:val="24"/>
                  <w:szCs w:val="24"/>
                </w:rPr>
                <m:t> </m:t>
              </m:r>
            </m:e>
          </m:nary>
          <m:r>
            <m:rPr>
              <m:sty m:val="p"/>
            </m:rPr>
            <w:rPr>
              <w:rFonts w:ascii="Cambria Math" w:eastAsia="宋体" w:hAnsi="Cambria Math" w:cs="Times New Roman"/>
              <w:sz w:val="24"/>
              <w:szCs w:val="24"/>
            </w:rPr>
            <m:t>∇</m:t>
          </m:r>
          <m:r>
            <w:rPr>
              <w:rFonts w:ascii="Cambria Math" w:eastAsia="宋体" w:hAnsi="Cambria Math" w:cs="Times New Roman"/>
              <w:sz w:val="24"/>
              <w:szCs w:val="24"/>
            </w:rPr>
            <m:t>⋅</m:t>
          </m:r>
          <m:d>
            <m:dPr>
              <m:ctrlPr>
                <w:rPr>
                  <w:rFonts w:ascii="Cambria Math" w:eastAsia="宋体" w:hAnsi="Cambria Math" w:cs="Times New Roman"/>
                  <w:sz w:val="24"/>
                  <w:szCs w:val="24"/>
                </w:rPr>
              </m:ctrlPr>
            </m:dPr>
            <m:e>
              <m:f>
                <m:fPr>
                  <m:ctrlPr>
                    <w:rPr>
                      <w:rFonts w:ascii="Cambria Math" w:eastAsia="宋体" w:hAnsi="Cambria Math" w:cs="Times New Roman"/>
                      <w:sz w:val="24"/>
                      <w:szCs w:val="24"/>
                    </w:rPr>
                  </m:ctrlPr>
                </m:fPr>
                <m:num>
                  <m:r>
                    <m:rPr>
                      <m:sty m:val="p"/>
                    </m:rPr>
                    <w:rPr>
                      <w:rFonts w:ascii="Cambria Math" w:eastAsia="宋体" w:hAnsi="Cambria Math" w:cs="Times New Roman"/>
                      <w:sz w:val="24"/>
                      <w:szCs w:val="24"/>
                    </w:rPr>
                    <m:t>∂</m:t>
                  </m:r>
                  <m:r>
                    <w:rPr>
                      <w:rFonts w:ascii="Cambria Math" w:eastAsia="宋体" w:hAnsi="Cambria Math" w:cs="Times New Roman"/>
                      <w:sz w:val="24"/>
                      <w:szCs w:val="24"/>
                    </w:rPr>
                    <m:t>p</m:t>
                  </m:r>
                </m:num>
                <m:den>
                  <m:r>
                    <m:rPr>
                      <m:sty m:val="p"/>
                    </m:rPr>
                    <w:rPr>
                      <w:rFonts w:ascii="Cambria Math" w:eastAsia="宋体" w:hAnsi="Cambria Math" w:cs="Times New Roman"/>
                      <w:sz w:val="24"/>
                      <w:szCs w:val="24"/>
                    </w:rPr>
                    <m:t>∂</m:t>
                  </m:r>
                  <m:r>
                    <w:rPr>
                      <w:rFonts w:ascii="Cambria Math" w:eastAsia="宋体" w:hAnsi="Cambria Math" w:cs="Times New Roman"/>
                      <w:sz w:val="24"/>
                      <w:szCs w:val="24"/>
                    </w:rPr>
                    <m:t>η</m:t>
                  </m:r>
                </m:den>
              </m:f>
              <m:acc>
                <m:accPr>
                  <m:chr m:val="⃗"/>
                  <m:ctrlPr>
                    <w:rPr>
                      <w:rFonts w:ascii="Cambria Math" w:eastAsia="宋体" w:hAnsi="Cambria Math" w:cs="Times New Roman"/>
                      <w:sz w:val="24"/>
                      <w:szCs w:val="24"/>
                    </w:rPr>
                  </m:ctrlPr>
                </m:accPr>
                <m:e>
                  <m:r>
                    <w:rPr>
                      <w:rFonts w:ascii="Cambria Math" w:eastAsia="宋体" w:hAnsi="Cambria Math" w:cs="Times New Roman"/>
                      <w:sz w:val="24"/>
                      <w:szCs w:val="24"/>
                    </w:rPr>
                    <m:t>u</m:t>
                  </m:r>
                </m:e>
              </m:acc>
            </m:e>
          </m:d>
          <m:r>
            <w:rPr>
              <w:rFonts w:ascii="Cambria Math" w:eastAsia="宋体" w:hAnsi="Cambria Math" w:cs="Times New Roman"/>
              <w:sz w:val="24"/>
              <w:szCs w:val="24"/>
            </w:rPr>
            <m:t>d</m:t>
          </m:r>
          <m:sSup>
            <m:sSupPr>
              <m:ctrlPr>
                <w:rPr>
                  <w:rFonts w:ascii="Cambria Math" w:eastAsia="宋体" w:hAnsi="Cambria Math" w:cs="Times New Roman"/>
                  <w:sz w:val="24"/>
                  <w:szCs w:val="24"/>
                </w:rPr>
              </m:ctrlPr>
            </m:sSupPr>
            <m:e>
              <m:r>
                <w:rPr>
                  <w:rFonts w:ascii="Cambria Math" w:eastAsia="宋体" w:hAnsi="Cambria Math" w:cs="Times New Roman"/>
                  <w:sz w:val="24"/>
                  <w:szCs w:val="24"/>
                </w:rPr>
                <m:t>η</m:t>
              </m:r>
            </m:e>
            <m:sup>
              <m:r>
                <m:rPr>
                  <m:sty m:val="p"/>
                </m:rPr>
                <w:rPr>
                  <w:rFonts w:ascii="Cambria Math" w:eastAsia="宋体" w:hAnsi="Cambria Math" w:cs="Times New Roman"/>
                  <w:sz w:val="24"/>
                  <w:szCs w:val="24"/>
                </w:rPr>
                <m:t>'</m:t>
              </m:r>
            </m:sup>
          </m:sSup>
          <m:r>
            <w:rPr>
              <w:rFonts w:ascii="Cambria Math" w:eastAsia="宋体" w:hAnsi="Times New Roman" w:cs="Times New Roman"/>
              <w:sz w:val="24"/>
              <w:szCs w:val="24"/>
            </w:rPr>
            <m:t xml:space="preserve">, </m:t>
          </m:r>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(1)</m:t>
          </m:r>
        </m:oMath>
      </m:oMathPara>
    </w:p>
    <w:p w14:paraId="2308D76F" w14:textId="209E0788" w:rsidR="00E76A53" w:rsidRDefault="00235339">
      <w:pPr>
        <w:spacing w:beforeLines="100" w:before="312" w:afterLines="100" w:after="312"/>
        <w:rPr>
          <w:rFonts w:ascii="Times New Roman" w:eastAsia="宋体" w:hAnsi="Times New Roman" w:cs="Times New Roman"/>
          <w:sz w:val="24"/>
          <w:szCs w:val="24"/>
        </w:rPr>
      </w:pPr>
      <w:r w:rsidRPr="00235339">
        <w:rPr>
          <w:rFonts w:ascii="Times New Roman" w:eastAsia="宋体" w:hAnsi="Times New Roman" w:cs="Times New Roman"/>
          <w:sz w:val="24"/>
          <w:szCs w:val="24"/>
        </w:rPr>
        <w:t>The major model physics of CAM5-SE include: (1) the separate deep convection scheme is ZM (Zhang and McFarlane 1995; Richter and Rasch 2008). (2) The shallow convection scheme is University of Washington (UW, Park and Bretherton 2009). (3) The cloud microphysics scheme is MG1.0 (Morrison and Gettelman 2008; Gettelman et al. 2010). (4)</w:t>
      </w:r>
      <w:r w:rsidR="00EC2E87">
        <w:rPr>
          <w:rFonts w:ascii="Times New Roman" w:eastAsia="宋体" w:hAnsi="Times New Roman" w:cs="Times New Roman"/>
          <w:sz w:val="24"/>
          <w:szCs w:val="24"/>
        </w:rPr>
        <w:t xml:space="preserve"> </w:t>
      </w:r>
      <w:r w:rsidRPr="00235339">
        <w:rPr>
          <w:rFonts w:ascii="Times New Roman" w:eastAsia="宋体" w:hAnsi="Times New Roman" w:cs="Times New Roman"/>
          <w:sz w:val="24"/>
          <w:szCs w:val="24"/>
        </w:rPr>
        <w:t>The moist turbulence scheme for calculating sub-grid vertical transport of heat and moisture is diag_TKE (Turbulent Kinetic Energy, Bretherton and Park, 2009a). (5) The radiation scheme is Raipid Radiative Transfer Model for GCM (RRTMG) package (Mlawer et al. 1997).</w:t>
      </w:r>
      <w:r>
        <w:rPr>
          <w:rFonts w:ascii="Times New Roman" w:eastAsia="宋体" w:hAnsi="Times New Roman" w:cs="Times New Roman"/>
          <w:sz w:val="24"/>
          <w:szCs w:val="24"/>
        </w:rPr>
        <w:t xml:space="preserve"> </w:t>
      </w:r>
    </w:p>
    <w:p w14:paraId="253D8CFA"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b/>
          <w:sz w:val="28"/>
          <w:szCs w:val="28"/>
        </w:rPr>
        <w:t>2.2 Topographic vertical motion and sub-grid topography parameterization scheme</w:t>
      </w:r>
    </w:p>
    <w:p w14:paraId="45560985"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Alpert and Shafir (1989) found that orographic precipitation at micro/meso scales is highly predictable with the adiabatic assumption that the lifting is determined by </w:t>
      </w:r>
      <m:oMath>
        <m:r>
          <m:rPr>
            <m:sty m:val="p"/>
          </m:rPr>
          <w:rPr>
            <w:rFonts w:ascii="Cambria Math" w:eastAsia="宋体" w:hAnsi="Cambria Math" w:cs="Times New Roman"/>
            <w:sz w:val="24"/>
            <w:szCs w:val="24"/>
          </w:rPr>
          <m:t>V·</m:t>
        </m:r>
        <w:bookmarkStart w:id="2" w:name="_Hlk106094243"/>
        <m:r>
          <m:rPr>
            <m:sty m:val="p"/>
          </m:rPr>
          <w:rPr>
            <w:rFonts w:ascii="Cambria Math" w:eastAsia="宋体" w:hAnsi="Cambria Math" w:cs="Times New Roman"/>
            <w:sz w:val="24"/>
            <w:szCs w:val="24"/>
          </w:rPr>
          <m:t>∇</m:t>
        </m:r>
        <m:sSub>
          <m:sSubPr>
            <m:ctrlPr>
              <w:rPr>
                <w:rFonts w:ascii="Cambria Math" w:eastAsia="宋体" w:hAnsi="Cambria Math" w:cs="Times New Roman"/>
                <w:sz w:val="24"/>
                <w:szCs w:val="24"/>
              </w:rPr>
            </m:ctrlPr>
          </m:sSubPr>
          <m:e>
            <m:r>
              <w:rPr>
                <w:rFonts w:ascii="Cambria Math" w:eastAsia="宋体" w:hAnsi="Cambria Math" w:cs="Times New Roman"/>
                <w:sz w:val="24"/>
                <w:szCs w:val="24"/>
              </w:rPr>
              <m:t>Z</m:t>
            </m:r>
          </m:e>
          <m:sub>
            <m:r>
              <w:rPr>
                <w:rFonts w:ascii="Cambria Math" w:eastAsia="宋体" w:hAnsi="Cambria Math" w:cs="Times New Roman"/>
                <w:sz w:val="24"/>
                <w:szCs w:val="24"/>
              </w:rPr>
              <m:t>s</m:t>
            </m:r>
          </m:sub>
        </m:sSub>
      </m:oMath>
      <w:r>
        <w:rPr>
          <w:rFonts w:ascii="Times New Roman" w:eastAsia="宋体" w:hAnsi="Times New Roman" w:cs="Times New Roman"/>
          <w:sz w:val="24"/>
          <w:szCs w:val="24"/>
        </w:rPr>
        <w:t>.</w:t>
      </w:r>
      <w:bookmarkEnd w:id="2"/>
      <w:r>
        <w:rPr>
          <w:rFonts w:ascii="Times New Roman" w:eastAsia="宋体" w:hAnsi="Times New Roman" w:cs="Times New Roman"/>
          <w:sz w:val="24"/>
          <w:szCs w:val="24"/>
        </w:rPr>
        <w:t xml:space="preserve"> The surface vertical velocity caused by the forced lifting of topography can be expressed by Eq. (2).</w:t>
      </w:r>
    </w:p>
    <w:p w14:paraId="10B7FDB9" w14:textId="77777777" w:rsidR="00E76A53" w:rsidRDefault="00000000">
      <w:pPr>
        <w:ind w:firstLineChars="200" w:firstLine="480"/>
        <w:rPr>
          <w:rFonts w:ascii="Times New Roman" w:eastAsia="宋体" w:hAnsi="Times New Roman" w:cs="Times New Roman"/>
          <w:sz w:val="24"/>
          <w:szCs w:val="24"/>
        </w:rPr>
      </w:pPr>
      <m:oMathPara>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hint="eastAsia"/>
                  <w:color w:val="000000" w:themeColor="text1"/>
                  <w:kern w:val="24"/>
                  <w:sz w:val="24"/>
                  <w:szCs w:val="24"/>
                </w:rPr>
                <m:t>s</m:t>
              </m:r>
            </m:sub>
          </m:sSub>
          <m:r>
            <w:rPr>
              <w:rFonts w:ascii="Cambria Math" w:eastAsia="宋体" w:hAnsi="Cambria Math" w:cs="Times New Roman"/>
              <w:sz w:val="24"/>
              <w:szCs w:val="24"/>
            </w:rPr>
            <m:t>=</m:t>
          </m:r>
          <m:sSub>
            <m:sSubPr>
              <m:ctrlPr>
                <w:rPr>
                  <w:rFonts w:ascii="Cambria Math" w:eastAsia="宋体" w:hAnsi="Cambria Math" w:cs="Times New Roman"/>
                  <w:sz w:val="24"/>
                  <w:szCs w:val="24"/>
                </w:rPr>
              </m:ctrlPr>
            </m:sSubPr>
            <m:e>
              <m:r>
                <m:rPr>
                  <m:sty m:val="b"/>
                </m:rPr>
                <w:rPr>
                  <w:rFonts w:ascii="Cambria Math" w:eastAsia="宋体" w:hAnsi="Cambria Math" w:cs="Times New Roman"/>
                  <w:sz w:val="24"/>
                  <w:szCs w:val="24"/>
                </w:rPr>
                <m:t>V</m:t>
              </m:r>
            </m:e>
            <m:sub>
              <m:r>
                <w:rPr>
                  <w:rFonts w:ascii="Cambria Math" w:eastAsia="宋体" w:hAnsi="Cambria Math" w:cs="Times New Roman"/>
                  <w:sz w:val="24"/>
                  <w:szCs w:val="24"/>
                </w:rPr>
                <m:t>0</m:t>
              </m:r>
            </m:sub>
          </m:sSub>
          <m:r>
            <w:rPr>
              <w:rFonts w:ascii="Cambria Math" w:eastAsia="宋体" w:hAnsi="Cambria Math" w:cs="Times New Roman"/>
              <w:sz w:val="24"/>
              <w:szCs w:val="24"/>
            </w:rPr>
            <m:t>⋅</m:t>
          </m:r>
          <m:r>
            <m:rPr>
              <m:sty m:val="p"/>
            </m:rPr>
            <w:rPr>
              <w:rFonts w:ascii="Cambria Math" w:eastAsia="宋体" w:hAnsi="Cambria Math" w:cs="Times New Roman"/>
              <w:sz w:val="24"/>
              <w:szCs w:val="24"/>
            </w:rPr>
            <m:t>∇</m:t>
          </m:r>
          <m:sSub>
            <m:sSubPr>
              <m:ctrlPr>
                <w:rPr>
                  <w:rFonts w:ascii="Cambria Math" w:eastAsia="宋体" w:hAnsi="Cambria Math" w:cs="Times New Roman"/>
                  <w:sz w:val="24"/>
                  <w:szCs w:val="24"/>
                </w:rPr>
              </m:ctrlPr>
            </m:sSubPr>
            <m:e>
              <m:r>
                <w:rPr>
                  <w:rFonts w:ascii="Cambria Math" w:eastAsia="宋体" w:hAnsi="Cambria Math" w:cs="Times New Roman"/>
                  <w:sz w:val="24"/>
                  <w:szCs w:val="24"/>
                </w:rPr>
                <m:t>Z</m:t>
              </m:r>
            </m:e>
            <m:sub>
              <m:r>
                <w:rPr>
                  <w:rFonts w:ascii="Cambria Math" w:eastAsia="宋体" w:hAnsi="Cambria Math" w:cs="Times New Roman"/>
                  <w:sz w:val="24"/>
                  <w:szCs w:val="24"/>
                </w:rPr>
                <m:t>s</m:t>
              </m:r>
            </m:sub>
          </m:sSub>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(2)</m:t>
          </m:r>
        </m:oMath>
      </m:oMathPara>
    </w:p>
    <w:p w14:paraId="7D8D63D7"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In the P-coordinate system, Eq. (2) can be rewritten as Eq. (3):</w:t>
      </w:r>
    </w:p>
    <w:p w14:paraId="343C33CE" w14:textId="77777777" w:rsidR="00E76A53" w:rsidRDefault="00000000">
      <w:pPr>
        <w:ind w:firstLineChars="200" w:firstLine="480"/>
        <w:rPr>
          <w:rFonts w:ascii="Times New Roman" w:eastAsia="宋体" w:hAnsi="Times New Roman" w:cs="Times New Roman"/>
          <w:iCs/>
          <w:color w:val="000000" w:themeColor="text1"/>
          <w:kern w:val="24"/>
          <w:sz w:val="24"/>
          <w:szCs w:val="24"/>
        </w:rPr>
      </w:pPr>
      <m:oMathPara>
        <m:oMath>
          <m:r>
            <w:rPr>
              <w:rFonts w:ascii="Cambria Math" w:eastAsia="宋体" w:hAnsi="Cambria Math" w:cs="Times New Roman"/>
              <w:sz w:val="24"/>
              <w:szCs w:val="24"/>
            </w:rPr>
            <m:t>ω</m:t>
          </m:r>
          <m:r>
            <w:rPr>
              <w:rFonts w:ascii="Cambria Math" w:eastAsia="宋体" w:hAnsi="Cambria Math" w:cs="Times New Roman"/>
              <w:color w:val="000000" w:themeColor="text1"/>
              <w:kern w:val="24"/>
              <w:sz w:val="24"/>
              <w:szCs w:val="24"/>
            </w:rPr>
            <m:t>=</m:t>
          </m:r>
          <m:f>
            <m:fPr>
              <m:ctrlPr>
                <w:rPr>
                  <w:rFonts w:ascii="Cambria Math" w:eastAsia="宋体" w:hAnsi="Cambria Math" w:cs="Times New Roman"/>
                  <w:iCs/>
                  <w:color w:val="000000" w:themeColor="text1"/>
                  <w:kern w:val="24"/>
                  <w:sz w:val="24"/>
                  <w:szCs w:val="24"/>
                </w:rPr>
              </m:ctrlPr>
            </m:fPr>
            <m:num>
              <m:r>
                <w:rPr>
                  <w:rFonts w:ascii="Cambria Math" w:eastAsia="宋体" w:hAnsi="Cambria Math" w:cs="Times New Roman"/>
                  <w:color w:val="000000" w:themeColor="text1"/>
                  <w:kern w:val="24"/>
                  <w:sz w:val="24"/>
                  <w:szCs w:val="24"/>
                </w:rPr>
                <m:t>d</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p</m:t>
                  </m:r>
                </m:e>
                <m:sub>
                  <m:r>
                    <w:rPr>
                      <w:rFonts w:ascii="Cambria Math" w:eastAsia="宋体" w:hAnsi="Cambria Math" w:cs="Times New Roman"/>
                      <w:color w:val="000000" w:themeColor="text1"/>
                      <w:kern w:val="24"/>
                      <w:sz w:val="24"/>
                      <w:szCs w:val="24"/>
                    </w:rPr>
                    <m:t>s</m:t>
                  </m:r>
                </m:sub>
              </m:sSub>
            </m:num>
            <m:den>
              <m:r>
                <w:rPr>
                  <w:rFonts w:ascii="Cambria Math" w:eastAsia="宋体" w:hAnsi="Cambria Math" w:cs="Times New Roman"/>
                  <w:color w:val="000000" w:themeColor="text1"/>
                  <w:kern w:val="24"/>
                  <w:sz w:val="24"/>
                  <w:szCs w:val="24"/>
                </w:rPr>
                <m:t>dt</m:t>
              </m:r>
            </m:den>
          </m:f>
          <m:r>
            <w:rPr>
              <w:rFonts w:ascii="Cambria Math" w:eastAsia="宋体" w:hAnsi="Cambria Math" w:cs="Times New Roman"/>
              <w:color w:val="000000" w:themeColor="text1"/>
              <w:kern w:val="24"/>
              <w:sz w:val="24"/>
              <w:szCs w:val="24"/>
            </w:rPr>
            <m:t>=</m:t>
          </m:r>
          <m:f>
            <m:fPr>
              <m:ctrlPr>
                <w:rPr>
                  <w:rFonts w:ascii="Cambria Math" w:eastAsia="宋体" w:hAnsi="Cambria Math" w:cs="Times New Roman"/>
                  <w:iCs/>
                  <w:color w:val="000000" w:themeColor="text1"/>
                  <w:kern w:val="24"/>
                  <w:sz w:val="24"/>
                  <w:szCs w:val="24"/>
                </w:rPr>
              </m:ctrlPr>
            </m:fPr>
            <m:num>
              <m:r>
                <m:rPr>
                  <m:sty m:val="p"/>
                </m:rPr>
                <w:rPr>
                  <w:rFonts w:ascii="Cambria Math" w:eastAsia="宋体" w:hAnsi="Cambria Math" w:cs="Times New Roman"/>
                  <w:color w:val="000000" w:themeColor="text1"/>
                  <w:kern w:val="24"/>
                  <w:sz w:val="24"/>
                  <w:szCs w:val="24"/>
                </w:rPr>
                <m:t>∂</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p</m:t>
                  </m:r>
                </m:e>
                <m:sub>
                  <m:r>
                    <w:rPr>
                      <w:rFonts w:ascii="Cambria Math" w:eastAsia="宋体" w:hAnsi="Cambria Math" w:cs="Times New Roman"/>
                      <w:color w:val="000000" w:themeColor="text1"/>
                      <w:kern w:val="24"/>
                      <w:sz w:val="24"/>
                      <w:szCs w:val="24"/>
                    </w:rPr>
                    <m:t>s</m:t>
                  </m:r>
                </m:sub>
              </m:sSub>
            </m:num>
            <m:den>
              <m:r>
                <m:rPr>
                  <m:sty m:val="p"/>
                </m:rPr>
                <w:rPr>
                  <w:rFonts w:ascii="Cambria Math" w:eastAsia="宋体" w:hAnsi="Cambria Math" w:cs="Times New Roman"/>
                  <w:color w:val="000000" w:themeColor="text1"/>
                  <w:kern w:val="24"/>
                  <w:sz w:val="24"/>
                  <w:szCs w:val="24"/>
                </w:rPr>
                <m:t>∂</m:t>
              </m:r>
              <m:r>
                <w:rPr>
                  <w:rFonts w:ascii="Cambria Math" w:eastAsia="宋体" w:hAnsi="Cambria Math" w:cs="Times New Roman"/>
                  <w:color w:val="000000" w:themeColor="text1"/>
                  <w:kern w:val="24"/>
                  <w:sz w:val="24"/>
                  <w:szCs w:val="24"/>
                </w:rPr>
                <m:t>t</m:t>
              </m:r>
            </m:den>
          </m:f>
          <m:r>
            <w:rPr>
              <w:rFonts w:ascii="Cambria Math" w:eastAsia="宋体" w:hAnsi="Cambria Math" w:cs="Times New Roman"/>
              <w:color w:val="000000" w:themeColor="text1"/>
              <w:kern w:val="24"/>
              <w:sz w:val="24"/>
              <w:szCs w:val="24"/>
            </w:rPr>
            <m:t>+</m:t>
          </m:r>
          <m:sSub>
            <m:sSubPr>
              <m:ctrlPr>
                <w:rPr>
                  <w:rFonts w:ascii="Cambria Math" w:eastAsia="宋体" w:hAnsi="Cambria Math" w:cs="Times New Roman"/>
                  <w:iCs/>
                  <w:color w:val="000000" w:themeColor="text1"/>
                  <w:kern w:val="24"/>
                  <w:sz w:val="24"/>
                  <w:szCs w:val="24"/>
                </w:rPr>
              </m:ctrlPr>
            </m:sSubPr>
            <m:e>
              <m:acc>
                <m:accPr>
                  <m:chr m:val="⃗"/>
                  <m:ctrlPr>
                    <w:rPr>
                      <w:rFonts w:ascii="Cambria Math" w:eastAsia="宋体" w:hAnsi="Cambria Math" w:cs="Times New Roman"/>
                      <w:iCs/>
                      <w:color w:val="000000" w:themeColor="text1"/>
                      <w:kern w:val="24"/>
                      <w:sz w:val="24"/>
                      <w:szCs w:val="24"/>
                    </w:rPr>
                  </m:ctrlPr>
                </m:accPr>
                <m:e>
                  <m:r>
                    <w:rPr>
                      <w:rFonts w:ascii="Cambria Math" w:eastAsia="宋体" w:hAnsi="Cambria Math" w:cs="Times New Roman"/>
                      <w:color w:val="000000" w:themeColor="text1"/>
                      <w:kern w:val="24"/>
                      <w:sz w:val="24"/>
                      <w:szCs w:val="24"/>
                    </w:rPr>
                    <m:t>V</m:t>
                  </m:r>
                </m:e>
              </m:acc>
            </m:e>
            <m:sub>
              <m:r>
                <w:rPr>
                  <w:rFonts w:ascii="Cambria Math" w:eastAsia="宋体" w:hAnsi="Cambria Math" w:cs="Times New Roman"/>
                  <w:color w:val="000000" w:themeColor="text1"/>
                  <w:kern w:val="24"/>
                  <w:sz w:val="24"/>
                  <w:szCs w:val="24"/>
                </w:rPr>
                <m:t>s</m:t>
              </m:r>
            </m:sub>
          </m:sSub>
          <m:r>
            <w:rPr>
              <w:rFonts w:ascii="Cambria Math" w:eastAsia="宋体" w:hAnsi="Cambria Math" w:cs="Times New Roman"/>
              <w:color w:val="000000" w:themeColor="text1"/>
              <w:kern w:val="24"/>
              <w:sz w:val="24"/>
              <w:szCs w:val="24"/>
            </w:rPr>
            <m:t>⋅</m:t>
          </m:r>
          <m:r>
            <m:rPr>
              <m:sty m:val="p"/>
            </m:rPr>
            <w:rPr>
              <w:rFonts w:ascii="Cambria Math" w:eastAsia="宋体" w:hAnsi="Cambria Math" w:cs="Times New Roman"/>
              <w:color w:val="000000" w:themeColor="text1"/>
              <w:kern w:val="24"/>
              <w:sz w:val="24"/>
              <w:szCs w:val="24"/>
            </w:rPr>
            <m:t>∇</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p</m:t>
              </m:r>
            </m:e>
            <m:sub>
              <m:r>
                <w:rPr>
                  <w:rFonts w:ascii="Cambria Math" w:eastAsia="宋体" w:hAnsi="Cambria Math" w:cs="Times New Roman"/>
                  <w:color w:val="000000" w:themeColor="text1"/>
                  <w:kern w:val="24"/>
                  <w:sz w:val="24"/>
                  <w:szCs w:val="24"/>
                </w:rPr>
                <m:t>s</m:t>
              </m:r>
            </m:sub>
          </m:sSub>
          <m:r>
            <w:rPr>
              <w:rFonts w:ascii="Cambria Math" w:eastAsia="宋体" w:hAnsi="Cambria Math" w:cs="Times New Roman"/>
              <w:color w:val="000000" w:themeColor="text1"/>
              <w:kern w:val="24"/>
              <w:sz w:val="24"/>
              <w:szCs w:val="24"/>
            </w:rPr>
            <m:t>,</m:t>
          </m:r>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(3)</m:t>
          </m:r>
        </m:oMath>
      </m:oMathPara>
    </w:p>
    <w:p w14:paraId="049C33B1" w14:textId="77777777" w:rsidR="00E76A53" w:rsidRDefault="00000000">
      <w:pPr>
        <w:spacing w:beforeLines="100" w:before="312" w:afterLines="100" w:after="312"/>
        <w:rPr>
          <w:rFonts w:ascii="Times New Roman" w:eastAsia="宋体" w:hAnsi="Times New Roman" w:cs="Times New Roman"/>
          <w:iCs/>
          <w:color w:val="000000" w:themeColor="text1"/>
          <w:kern w:val="24"/>
          <w:sz w:val="24"/>
          <w:szCs w:val="24"/>
        </w:rPr>
      </w:pPr>
      <w:r>
        <w:rPr>
          <w:rFonts w:ascii="Times New Roman" w:eastAsia="宋体" w:hAnsi="Times New Roman" w:cs="Times New Roman"/>
          <w:iCs/>
          <w:color w:val="000000" w:themeColor="text1"/>
          <w:kern w:val="24"/>
          <w:sz w:val="24"/>
          <w:szCs w:val="24"/>
        </w:rPr>
        <w:t xml:space="preserve">Where </w:t>
      </w:r>
      <m:oMath>
        <m:sSub>
          <m:sSubPr>
            <m:ctrlPr>
              <w:rPr>
                <w:rFonts w:ascii="Cambria Math" w:eastAsia="宋体" w:hAnsi="Cambria Math" w:cs="Times New Roman"/>
                <w:sz w:val="24"/>
                <w:szCs w:val="24"/>
              </w:rPr>
            </m:ctrlPr>
          </m:sSubPr>
          <m:e>
            <m:acc>
              <m:accPr>
                <m:chr m:val="⃗"/>
                <m:ctrlPr>
                  <w:rPr>
                    <w:rFonts w:ascii="Cambria Math" w:eastAsia="宋体" w:hAnsi="Cambria Math" w:cs="Times New Roman"/>
                    <w:sz w:val="24"/>
                    <w:szCs w:val="24"/>
                  </w:rPr>
                </m:ctrlPr>
              </m:accPr>
              <m:e>
                <m:r>
                  <w:rPr>
                    <w:rFonts w:ascii="Cambria Math" w:eastAsia="宋体" w:hAnsi="Cambria Math" w:cs="Times New Roman"/>
                    <w:sz w:val="24"/>
                    <w:szCs w:val="24"/>
                  </w:rPr>
                  <m:t>V</m:t>
                </m:r>
              </m:e>
            </m:acc>
          </m:e>
          <m:sub>
            <m:r>
              <w:rPr>
                <w:rFonts w:ascii="Cambria Math" w:eastAsia="宋体" w:hAnsi="Cambria Math" w:cs="Times New Roman"/>
                <w:sz w:val="24"/>
                <w:szCs w:val="24"/>
              </w:rPr>
              <m:t>s</m:t>
            </m:r>
          </m:sub>
        </m:sSub>
        <m:r>
          <m:rPr>
            <m:sty m:val="p"/>
          </m:rPr>
          <w:rPr>
            <w:rFonts w:ascii="Cambria Math" w:eastAsia="宋体" w:hAnsi="Cambria Math" w:cs="Times New Roman"/>
            <w:sz w:val="24"/>
            <w:szCs w:val="24"/>
          </w:rPr>
          <m:t xml:space="preserve"> and </m:t>
        </m:r>
        <m:sSub>
          <m:sSubPr>
            <m:ctrlPr>
              <w:rPr>
                <w:rFonts w:ascii="Cambria Math" w:eastAsia="宋体" w:hAnsi="Cambria Math" w:cs="Times New Roman"/>
                <w:sz w:val="24"/>
                <w:szCs w:val="24"/>
              </w:rPr>
            </m:ctrlPr>
          </m:sSubPr>
          <m:e>
            <m:r>
              <w:rPr>
                <w:rFonts w:ascii="Cambria Math" w:eastAsia="宋体" w:hAnsi="Cambria Math" w:cs="Times New Roman"/>
                <w:sz w:val="24"/>
                <w:szCs w:val="24"/>
              </w:rPr>
              <m:t>p</m:t>
            </m:r>
          </m:e>
          <m:sub>
            <m:r>
              <w:rPr>
                <w:rFonts w:ascii="Cambria Math" w:eastAsia="宋体" w:hAnsi="Cambria Math" w:cs="Times New Roman"/>
                <w:sz w:val="24"/>
                <w:szCs w:val="24"/>
              </w:rPr>
              <m:t>s</m:t>
            </m:r>
          </m:sub>
        </m:sSub>
      </m:oMath>
      <w:r>
        <w:rPr>
          <w:rFonts w:ascii="Times New Roman" w:eastAsia="宋体" w:hAnsi="Times New Roman" w:cs="Times New Roman"/>
          <w:iCs/>
          <w:color w:val="000000" w:themeColor="text1"/>
          <w:kern w:val="24"/>
          <w:sz w:val="24"/>
          <w:szCs w:val="24"/>
        </w:rPr>
        <w:t xml:space="preserve"> indicate the surface wind velocity and the surface pressure, respectively. After considering the topographic vertical velocity, Eq. (3) can be rewritten as Eq. (4).</w:t>
      </w:r>
    </w:p>
    <w:p w14:paraId="7777B635" w14:textId="77777777" w:rsidR="00E76A53" w:rsidRDefault="00000000">
      <w:pPr>
        <w:jc w:val="left"/>
        <w:rPr>
          <w:rFonts w:ascii="Times New Roman" w:eastAsia="宋体" w:hAnsi="Times New Roman" w:cs="Times New Roman"/>
          <w:sz w:val="24"/>
          <w:szCs w:val="24"/>
        </w:rPr>
      </w:pPr>
      <m:oMathPara>
        <m:oMath>
          <m:r>
            <w:rPr>
              <w:rFonts w:ascii="Cambria Math" w:eastAsia="宋体" w:hAnsi="Cambria Math" w:cs="Times New Roman"/>
              <w:sz w:val="24"/>
              <w:szCs w:val="24"/>
            </w:rPr>
            <m:t>ω=</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color w:val="000000" w:themeColor="text1"/>
                  <w:kern w:val="24"/>
                  <w:sz w:val="24"/>
                  <w:szCs w:val="24"/>
                </w:rPr>
                <m:t>0</m:t>
              </m:r>
            </m:sub>
          </m:sSub>
          <m:r>
            <w:rPr>
              <w:rFonts w:ascii="Cambria Math" w:eastAsia="宋体" w:hAnsi="Cambria Math" w:cs="Times New Roman"/>
              <w:sz w:val="24"/>
              <w:szCs w:val="24"/>
            </w:rPr>
            <m:t>+</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hint="eastAsia"/>
                  <w:color w:val="000000" w:themeColor="text1"/>
                  <w:kern w:val="24"/>
                  <w:sz w:val="24"/>
                  <w:szCs w:val="24"/>
                </w:rPr>
                <m:t>s</m:t>
              </m:r>
            </m:sub>
          </m:sSub>
          <m:r>
            <w:rPr>
              <w:rFonts w:ascii="Cambria Math" w:eastAsia="宋体" w:hAnsi="Cambria Math" w:cs="Times New Roman"/>
              <w:sz w:val="24"/>
              <w:szCs w:val="24"/>
            </w:rPr>
            <m:t xml:space="preserve"> ,            </m:t>
          </m:r>
          <m:r>
            <w:rPr>
              <w:rFonts w:ascii="Cambria Math" w:eastAsia="宋体" w:hAnsi="Cambria Math" w:cs="Times New Roman"/>
              <w:color w:val="000000" w:themeColor="text1"/>
              <w:kern w:val="24"/>
              <w:sz w:val="24"/>
              <w:szCs w:val="24"/>
            </w:rPr>
            <m:t>(4)</m:t>
          </m:r>
        </m:oMath>
      </m:oMathPara>
    </w:p>
    <w:p w14:paraId="46961633" w14:textId="77777777" w:rsidR="00E76A53" w:rsidRDefault="00000000">
      <w:pPr>
        <w:rPr>
          <w:rFonts w:ascii="Times New Roman" w:eastAsia="宋体" w:hAnsi="Times New Roman" w:cs="Times New Roman"/>
          <w:sz w:val="24"/>
          <w:szCs w:val="24"/>
        </w:rPr>
      </w:pPr>
      <m:oMathPara>
        <m:oMathParaPr>
          <m:jc m:val="left"/>
        </m:oMathParaPr>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color w:val="000000" w:themeColor="text1"/>
                  <w:kern w:val="24"/>
                  <w:sz w:val="24"/>
                  <w:szCs w:val="24"/>
                </w:rPr>
                <m:t>s</m:t>
              </m:r>
            </m:sub>
          </m:sSub>
          <m:r>
            <w:rPr>
              <w:rFonts w:ascii="Cambria Math" w:eastAsia="宋体" w:hAnsi="Cambria Math" w:cs="Times New Roman"/>
              <w:color w:val="000000" w:themeColor="text1"/>
              <w:kern w:val="24"/>
              <w:sz w:val="24"/>
              <w:szCs w:val="24"/>
            </w:rPr>
            <m:t>=-ρg</m:t>
          </m:r>
          <m:acc>
            <m:accPr>
              <m:chr m:val="⃗"/>
              <m:ctrlPr>
                <w:rPr>
                  <w:rFonts w:ascii="Cambria Math" w:eastAsia="宋体" w:hAnsi="Cambria Math" w:cs="Times New Roman"/>
                  <w:i/>
                  <w:color w:val="000000" w:themeColor="text1"/>
                  <w:kern w:val="24"/>
                  <w:sz w:val="24"/>
                  <w:szCs w:val="24"/>
                </w:rPr>
              </m:ctrlPr>
            </m:accPr>
            <m:e>
              <m:r>
                <w:rPr>
                  <w:rFonts w:ascii="Cambria Math" w:eastAsia="宋体" w:hAnsi="Cambria Math" w:cs="Times New Roman"/>
                  <w:color w:val="000000" w:themeColor="text1"/>
                  <w:kern w:val="24"/>
                  <w:sz w:val="24"/>
                  <w:szCs w:val="24"/>
                </w:rPr>
                <m:t>V</m:t>
              </m:r>
            </m:e>
          </m:acc>
          <m:r>
            <w:rPr>
              <w:rFonts w:ascii="Cambria Math" w:eastAsia="宋体" w:hAnsi="Cambria Math" w:cs="Times New Roman"/>
              <w:color w:val="000000" w:themeColor="text1"/>
              <w:kern w:val="24"/>
              <w:sz w:val="24"/>
              <w:szCs w:val="24"/>
            </w:rPr>
            <m:t>·∇</m:t>
          </m:r>
          <m:sSub>
            <m:sSubPr>
              <m:ctrlPr>
                <w:rPr>
                  <w:rFonts w:ascii="Cambria Math" w:eastAsia="宋体" w:hAnsi="Cambria Math" w:cs="Times New Roman"/>
                  <w:i/>
                  <w:color w:val="000000" w:themeColor="text1"/>
                  <w:kern w:val="24"/>
                  <w:sz w:val="24"/>
                  <w:szCs w:val="24"/>
                </w:rPr>
              </m:ctrlPr>
            </m:sSubPr>
            <m:e>
              <m:r>
                <w:rPr>
                  <w:rFonts w:ascii="Cambria Math" w:eastAsia="宋体" w:hAnsi="Cambria Math" w:cs="Times New Roman"/>
                  <w:color w:val="000000" w:themeColor="text1"/>
                  <w:kern w:val="24"/>
                  <w:sz w:val="24"/>
                  <w:szCs w:val="24"/>
                </w:rPr>
                <m:t>Z</m:t>
              </m:r>
            </m:e>
            <m:sub>
              <m:r>
                <w:rPr>
                  <w:rFonts w:ascii="Cambria Math" w:eastAsia="宋体" w:hAnsi="Cambria Math" w:cs="Times New Roman"/>
                  <w:color w:val="000000" w:themeColor="text1"/>
                  <w:kern w:val="24"/>
                  <w:sz w:val="24"/>
                  <w:szCs w:val="24"/>
                </w:rPr>
                <m:t>s</m:t>
              </m:r>
            </m:sub>
          </m:sSub>
          <m:r>
            <w:rPr>
              <w:rFonts w:ascii="Cambria Math" w:eastAsia="宋体" w:hAnsi="Cambria Math" w:cs="Times New Roman"/>
              <w:color w:val="000000" w:themeColor="text1"/>
              <w:kern w:val="24"/>
              <w:sz w:val="24"/>
              <w:szCs w:val="24"/>
            </w:rPr>
            <m:t>=-ρg·</m:t>
          </m:r>
          <m:d>
            <m:dPr>
              <m:begChr m:val="|"/>
              <m:endChr m:val="|"/>
              <m:ctrlPr>
                <w:rPr>
                  <w:rFonts w:ascii="Cambria Math" w:eastAsia="宋体" w:hAnsi="Cambria Math" w:cs="Times New Roman"/>
                  <w:i/>
                  <w:color w:val="000000" w:themeColor="text1"/>
                  <w:kern w:val="24"/>
                  <w:sz w:val="24"/>
                  <w:szCs w:val="24"/>
                </w:rPr>
              </m:ctrlPr>
            </m:dPr>
            <m:e>
              <m:acc>
                <m:accPr>
                  <m:chr m:val="⃗"/>
                  <m:ctrlPr>
                    <w:rPr>
                      <w:rFonts w:ascii="Cambria Math" w:eastAsia="宋体" w:hAnsi="Cambria Math" w:cs="Times New Roman"/>
                      <w:i/>
                      <w:color w:val="000000" w:themeColor="text1"/>
                      <w:kern w:val="24"/>
                      <w:sz w:val="24"/>
                      <w:szCs w:val="24"/>
                    </w:rPr>
                  </m:ctrlPr>
                </m:accPr>
                <m:e>
                  <m:r>
                    <w:rPr>
                      <w:rFonts w:ascii="Cambria Math" w:eastAsia="宋体" w:hAnsi="Cambria Math" w:cs="Times New Roman"/>
                      <w:color w:val="000000" w:themeColor="text1"/>
                      <w:kern w:val="24"/>
                      <w:sz w:val="24"/>
                      <w:szCs w:val="24"/>
                    </w:rPr>
                    <m:t>V</m:t>
                  </m:r>
                </m:e>
              </m:acc>
            </m:e>
          </m:d>
          <m:r>
            <w:rPr>
              <w:rFonts w:ascii="Cambria Math" w:eastAsia="宋体" w:hAnsi="Cambria Math" w:cs="Times New Roman"/>
              <w:color w:val="000000" w:themeColor="text1"/>
              <w:kern w:val="24"/>
              <w:sz w:val="24"/>
              <w:szCs w:val="24"/>
            </w:rPr>
            <m:t>·</m:t>
          </m:r>
          <m:r>
            <m:rPr>
              <m:sty m:val="p"/>
            </m:rPr>
            <w:rPr>
              <w:rFonts w:ascii="Cambria Math" w:eastAsia="宋体" w:hAnsi="Cambria Math" w:cs="Times New Roman"/>
              <w:color w:val="000000" w:themeColor="text1"/>
              <w:kern w:val="24"/>
              <w:sz w:val="24"/>
              <w:szCs w:val="24"/>
            </w:rPr>
            <m:t>tan</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θ</m:t>
              </m:r>
            </m:e>
            <m:sub>
              <m:r>
                <w:rPr>
                  <w:rFonts w:ascii="Cambria Math" w:eastAsia="宋体" w:hAnsi="Cambria Math" w:cs="Times New Roman"/>
                  <w:sz w:val="24"/>
                  <w:szCs w:val="24"/>
                </w:rPr>
                <m:t>N</m:t>
              </m:r>
            </m:sub>
          </m:sSub>
          <m:r>
            <w:rPr>
              <w:rFonts w:ascii="Cambria Math" w:eastAsia="宋体" w:hAnsi="Cambria Math" w:cs="Times New Roman"/>
              <w:color w:val="000000" w:themeColor="text1"/>
              <w:kern w:val="24"/>
              <w:sz w:val="24"/>
              <w:szCs w:val="24"/>
            </w:rPr>
            <m:t>·</m:t>
          </m:r>
          <m:r>
            <m:rPr>
              <m:sty m:val="p"/>
            </m:rPr>
            <w:rPr>
              <w:rFonts w:ascii="Cambria Math" w:eastAsia="宋体" w:hAnsi="Cambria Math" w:cs="Times New Roman"/>
              <w:color w:val="000000" w:themeColor="text1"/>
              <w:kern w:val="24"/>
              <w:sz w:val="24"/>
              <w:szCs w:val="24"/>
            </w:rPr>
            <m:t>cos</m:t>
          </m:r>
          <m:d>
            <m:dPr>
              <m:ctrlPr>
                <w:rPr>
                  <w:rFonts w:ascii="Cambria Math" w:eastAsia="宋体" w:hAnsi="Cambria Math" w:cs="Times New Roman"/>
                  <w:i/>
                  <w:color w:val="000000" w:themeColor="text1"/>
                  <w:kern w:val="24"/>
                  <w:sz w:val="24"/>
                  <w:szCs w:val="24"/>
                </w:rPr>
              </m:ctrlPr>
            </m:dPr>
            <m:e>
              <m:r>
                <w:rPr>
                  <w:rFonts w:ascii="Cambria Math" w:eastAsia="宋体" w:hAnsi="Cambria Math" w:cs="Times New Roman"/>
                  <w:color w:val="000000" w:themeColor="text1"/>
                  <w:kern w:val="24"/>
                  <w:sz w:val="24"/>
                  <w:szCs w:val="24"/>
                </w:rPr>
                <m:t>θ-</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φ</m:t>
                  </m:r>
                </m:e>
                <m:sub>
                  <m:r>
                    <w:rPr>
                      <w:rFonts w:ascii="Cambria Math" w:eastAsia="宋体" w:hAnsi="Cambria Math" w:cs="Times New Roman"/>
                      <w:sz w:val="24"/>
                      <w:szCs w:val="24"/>
                    </w:rPr>
                    <m:t>N</m:t>
                  </m:r>
                </m:sub>
              </m:sSub>
            </m:e>
          </m:d>
        </m:oMath>
      </m:oMathPara>
    </w:p>
    <w:p w14:paraId="06DE819D" w14:textId="77777777" w:rsidR="00E76A53" w:rsidRDefault="00000000">
      <w:pPr>
        <w:rPr>
          <w:rFonts w:ascii="Times New Roman" w:eastAsia="宋体" w:hAnsi="Times New Roman" w:cs="Times New Roman"/>
          <w:sz w:val="24"/>
          <w:szCs w:val="24"/>
        </w:rPr>
      </w:pPr>
      <m:oMath>
        <m:r>
          <w:rPr>
            <w:rFonts w:ascii="Cambria Math" w:eastAsia="宋体" w:hAnsi="Cambria Math" w:cs="Times New Roman"/>
            <w:color w:val="000000" w:themeColor="text1"/>
            <w:kern w:val="24"/>
            <w:sz w:val="24"/>
            <w:szCs w:val="24"/>
          </w:rPr>
          <m:t xml:space="preserve">       =-</m:t>
        </m:r>
        <m:r>
          <w:rPr>
            <w:rFonts w:ascii="Cambria Math" w:eastAsia="宋体" w:hAnsi="Cambria Math" w:cs="Times New Roman"/>
            <w:sz w:val="24"/>
            <w:szCs w:val="24"/>
          </w:rPr>
          <m:t>ρg</m:t>
        </m:r>
        <m:rad>
          <m:radPr>
            <m:ctrlPr>
              <w:rPr>
                <w:rFonts w:ascii="Cambria Math" w:eastAsia="宋体" w:hAnsi="Cambria Math" w:cs="Times New Roman"/>
                <w:i/>
                <w:iCs/>
                <w:sz w:val="24"/>
                <w:szCs w:val="24"/>
              </w:rPr>
            </m:ctrlPr>
          </m:radPr>
          <m:deg>
            <m:r>
              <w:rPr>
                <w:rFonts w:ascii="Cambria Math" w:eastAsia="宋体" w:hAnsi="Cambria Math" w:cs="Times New Roman"/>
                <w:sz w:val="24"/>
                <w:szCs w:val="24"/>
              </w:rPr>
              <m:t>2</m:t>
            </m:r>
          </m:deg>
          <m:e>
            <m:sSup>
              <m:sSupPr>
                <m:ctrlPr>
                  <w:rPr>
                    <w:rFonts w:ascii="Cambria Math" w:eastAsia="宋体" w:hAnsi="Cambria Math" w:cs="Times New Roman"/>
                    <w:i/>
                    <w:iCs/>
                    <w:sz w:val="24"/>
                    <w:szCs w:val="24"/>
                  </w:rPr>
                </m:ctrlPr>
              </m:sSupPr>
              <m:e>
                <m:r>
                  <w:rPr>
                    <w:rFonts w:ascii="Cambria Math" w:eastAsia="宋体" w:hAnsi="Cambria Math" w:cs="Times New Roman"/>
                    <w:sz w:val="24"/>
                    <w:szCs w:val="24"/>
                  </w:rPr>
                  <m:t>u</m:t>
                </m:r>
              </m:e>
              <m:sup>
                <m:r>
                  <w:rPr>
                    <w:rFonts w:ascii="Cambria Math" w:eastAsia="宋体" w:hAnsi="Cambria Math" w:cs="Times New Roman"/>
                    <w:sz w:val="24"/>
                    <w:szCs w:val="24"/>
                  </w:rPr>
                  <m:t>2</m:t>
                </m:r>
              </m:sup>
            </m:sSup>
            <m:r>
              <w:rPr>
                <w:rFonts w:ascii="Cambria Math" w:eastAsia="宋体" w:hAnsi="Cambria Math" w:cs="Times New Roman"/>
                <w:sz w:val="24"/>
                <w:szCs w:val="24"/>
              </w:rPr>
              <m:t>+</m:t>
            </m:r>
            <m:sSup>
              <m:sSupPr>
                <m:ctrlPr>
                  <w:rPr>
                    <w:rFonts w:ascii="Cambria Math" w:eastAsia="宋体" w:hAnsi="Cambria Math" w:cs="Times New Roman"/>
                    <w:i/>
                    <w:iCs/>
                    <w:sz w:val="24"/>
                    <w:szCs w:val="24"/>
                  </w:rPr>
                </m:ctrlPr>
              </m:sSupPr>
              <m:e>
                <m:r>
                  <w:rPr>
                    <w:rFonts w:ascii="Cambria Math" w:eastAsia="宋体" w:hAnsi="Cambria Math" w:cs="Times New Roman"/>
                    <w:sz w:val="24"/>
                    <w:szCs w:val="24"/>
                  </w:rPr>
                  <m:t>v</m:t>
                </m:r>
              </m:e>
              <m:sup>
                <m:r>
                  <w:rPr>
                    <w:rFonts w:ascii="Cambria Math" w:eastAsia="宋体" w:hAnsi="Cambria Math" w:cs="Times New Roman"/>
                    <w:sz w:val="24"/>
                    <w:szCs w:val="24"/>
                  </w:rPr>
                  <m:t>2</m:t>
                </m:r>
              </m:sup>
            </m:sSup>
          </m:e>
        </m:rad>
        <m:r>
          <w:rPr>
            <w:rFonts w:ascii="Cambria Math" w:eastAsia="宋体" w:hAnsi="Cambria Math" w:cs="Times New Roman"/>
            <w:color w:val="000000" w:themeColor="text1"/>
            <w:kern w:val="24"/>
            <w:sz w:val="24"/>
            <w:szCs w:val="24"/>
          </w:rPr>
          <m:t>·</m:t>
        </m:r>
      </m:oMath>
      <w:r>
        <w:rPr>
          <w:rFonts w:ascii="Times New Roman" w:eastAsia="宋体" w:hAnsi="Times New Roman" w:cs="Times New Roman"/>
          <w:sz w:val="24"/>
          <w:szCs w:val="24"/>
        </w:rPr>
        <w:t>tan</w:t>
      </w:r>
      <m:oMath>
        <m:sSub>
          <m:sSubPr>
            <m:ctrlPr>
              <w:rPr>
                <w:rFonts w:ascii="Cambria Math" w:eastAsia="宋体" w:hAnsi="Cambria Math" w:cs="Times New Roman"/>
                <w:i/>
                <w:iCs/>
                <w:sz w:val="24"/>
                <w:szCs w:val="24"/>
              </w:rPr>
            </m:ctrlPr>
          </m:sSubPr>
          <m:e>
            <m:r>
              <w:rPr>
                <w:rFonts w:ascii="Cambria Math" w:eastAsia="宋体" w:hAnsi="Cambria Math" w:cs="Times New Roman"/>
                <w:sz w:val="24"/>
                <w:szCs w:val="24"/>
              </w:rPr>
              <m:t>θ</m:t>
            </m:r>
          </m:e>
          <m:sub>
            <m:r>
              <w:rPr>
                <w:rFonts w:ascii="Cambria Math" w:eastAsia="宋体" w:hAnsi="Cambria Math" w:cs="Times New Roman"/>
                <w:sz w:val="24"/>
                <w:szCs w:val="24"/>
              </w:rPr>
              <m:t>N</m:t>
            </m:r>
          </m:sub>
        </m:sSub>
        <m:r>
          <w:rPr>
            <w:rFonts w:ascii="Cambria Math" w:eastAsia="宋体" w:hAnsi="Cambria Math" w:cs="Times New Roman"/>
            <w:color w:val="000000" w:themeColor="text1"/>
            <w:kern w:val="24"/>
            <w:sz w:val="24"/>
            <w:szCs w:val="24"/>
          </w:rPr>
          <m:t>·</m:t>
        </m:r>
        <m:d>
          <m:dPr>
            <m:ctrlPr>
              <w:rPr>
                <w:rFonts w:ascii="Cambria Math" w:eastAsia="宋体" w:hAnsi="Cambria Math" w:cs="Times New Roman"/>
                <w:i/>
                <w:sz w:val="24"/>
                <w:szCs w:val="24"/>
              </w:rPr>
            </m:ctrlPr>
          </m:dPr>
          <m:e>
            <m:r>
              <m:rPr>
                <m:sty m:val="p"/>
              </m:rPr>
              <w:rPr>
                <w:rFonts w:ascii="Cambria Math" w:eastAsia="宋体" w:hAnsi="Cambria Math" w:cs="Times New Roman"/>
                <w:sz w:val="24"/>
                <w:szCs w:val="24"/>
              </w:rPr>
              <m:t>cos</m:t>
            </m:r>
            <m:r>
              <w:rPr>
                <w:rFonts w:ascii="Cambria Math" w:eastAsia="宋体" w:hAnsi="Cambria Math" w:cs="Times New Roman"/>
                <w:sz w:val="24"/>
                <w:szCs w:val="24"/>
              </w:rPr>
              <m:t>θ·</m:t>
            </m:r>
            <m:r>
              <m:rPr>
                <m:sty m:val="p"/>
              </m:rPr>
              <w:rPr>
                <w:rFonts w:ascii="Cambria Math" w:eastAsia="宋体" w:hAnsi="Cambria Math" w:cs="Times New Roman"/>
                <w:sz w:val="24"/>
                <w:szCs w:val="24"/>
              </w:rPr>
              <m:t>cos</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φ</m:t>
                </m:r>
              </m:e>
              <m:sub>
                <m:r>
                  <w:rPr>
                    <w:rFonts w:ascii="Cambria Math" w:eastAsia="宋体" w:hAnsi="Cambria Math" w:cs="Times New Roman"/>
                    <w:sz w:val="24"/>
                    <w:szCs w:val="24"/>
                  </w:rPr>
                  <m:t>N</m:t>
                </m:r>
              </m:sub>
            </m:sSub>
            <m:r>
              <w:rPr>
                <w:rFonts w:ascii="Cambria Math" w:eastAsia="宋体" w:hAnsi="Cambria Math" w:cs="Times New Roman"/>
                <w:sz w:val="24"/>
                <w:szCs w:val="24"/>
              </w:rPr>
              <m:t>+</m:t>
            </m:r>
            <m:r>
              <m:rPr>
                <m:sty m:val="p"/>
              </m:rPr>
              <w:rPr>
                <w:rFonts w:ascii="Cambria Math" w:eastAsia="宋体" w:hAnsi="Cambria Math" w:cs="Times New Roman"/>
                <w:sz w:val="24"/>
                <w:szCs w:val="24"/>
              </w:rPr>
              <m:t>sin</m:t>
            </m:r>
            <m:r>
              <w:rPr>
                <w:rFonts w:ascii="Cambria Math" w:eastAsia="宋体" w:hAnsi="Cambria Math" w:cs="Times New Roman"/>
                <w:sz w:val="24"/>
                <w:szCs w:val="24"/>
              </w:rPr>
              <m:t>θ·</m:t>
            </m:r>
            <m:r>
              <m:rPr>
                <m:sty m:val="p"/>
              </m:rPr>
              <w:rPr>
                <w:rFonts w:ascii="Cambria Math" w:eastAsia="宋体" w:hAnsi="Cambria Math" w:cs="Times New Roman"/>
                <w:sz w:val="24"/>
                <w:szCs w:val="24"/>
              </w:rPr>
              <m:t>sin</m:t>
            </m:r>
            <m:sSub>
              <m:sSubPr>
                <m:ctrlPr>
                  <w:rPr>
                    <w:rFonts w:ascii="Cambria Math" w:eastAsia="宋体" w:hAnsi="Cambria Math" w:cs="Times New Roman"/>
                    <w:i/>
                    <w:sz w:val="24"/>
                    <w:szCs w:val="24"/>
                  </w:rPr>
                </m:ctrlPr>
              </m:sSubPr>
              <m:e>
                <m:r>
                  <w:rPr>
                    <w:rFonts w:ascii="Cambria Math" w:eastAsia="宋体" w:hAnsi="Cambria Math" w:cs="Times New Roman"/>
                    <w:sz w:val="24"/>
                    <w:szCs w:val="24"/>
                  </w:rPr>
                  <m:t>φ</m:t>
                </m:r>
              </m:e>
              <m:sub>
                <m:r>
                  <w:rPr>
                    <w:rFonts w:ascii="Cambria Math" w:eastAsia="宋体" w:hAnsi="Cambria Math" w:cs="Times New Roman"/>
                    <w:sz w:val="24"/>
                    <w:szCs w:val="24"/>
                  </w:rPr>
                  <m:t>N</m:t>
                </m:r>
              </m:sub>
            </m:sSub>
            <m:ctrlPr>
              <w:rPr>
                <w:rFonts w:ascii="Cambria Math" w:eastAsia="宋体" w:hAnsi="Cambria Math" w:cs="Times New Roman"/>
                <w:sz w:val="24"/>
                <w:szCs w:val="24"/>
              </w:rPr>
            </m:ctrlPr>
          </m:e>
        </m:d>
        <m:r>
          <m:rPr>
            <m:sty m:val="p"/>
          </m:rPr>
          <w:rPr>
            <w:rFonts w:ascii="Cambria Math" w:eastAsia="宋体" w:hAnsi="Cambria Math" w:cs="Times New Roman"/>
            <w:sz w:val="24"/>
            <w:szCs w:val="24"/>
          </w:rPr>
          <m:t xml:space="preserve">,                      </m:t>
        </m:r>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(5)</m:t>
        </m:r>
      </m:oMath>
    </w:p>
    <w:p w14:paraId="211F2AC5" w14:textId="46437333" w:rsidR="00E76A53" w:rsidRDefault="00000000">
      <w:pPr>
        <w:rPr>
          <w:rFonts w:ascii="Times New Roman" w:eastAsia="宋体" w:hAnsi="Times New Roman" w:cs="Times New Roman"/>
          <w:iCs/>
          <w:color w:val="000000" w:themeColor="text1"/>
          <w:kern w:val="24"/>
          <w:sz w:val="24"/>
          <w:szCs w:val="24"/>
        </w:rPr>
      </w:pPr>
      <w:r>
        <w:rPr>
          <w:rFonts w:ascii="Times New Roman" w:eastAsia="宋体" w:hAnsi="Times New Roman" w:cs="Times New Roman"/>
          <w:iCs/>
          <w:color w:val="000000" w:themeColor="text1"/>
          <w:kern w:val="24"/>
          <w:sz w:val="24"/>
          <w:szCs w:val="24"/>
        </w:rPr>
        <w:t xml:space="preserve">where </w:t>
      </w:r>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color w:val="000000" w:themeColor="text1"/>
                <w:kern w:val="24"/>
                <w:sz w:val="24"/>
                <w:szCs w:val="24"/>
              </w:rPr>
              <m:t>s</m:t>
            </m:r>
          </m:sub>
        </m:sSub>
        <m:r>
          <w:rPr>
            <w:rFonts w:ascii="Cambria Math" w:eastAsia="宋体" w:hAnsi="Cambria Math" w:cs="Times New Roman"/>
            <w:sz w:val="24"/>
            <w:szCs w:val="24"/>
          </w:rPr>
          <m:t xml:space="preserve"> </m:t>
        </m:r>
      </m:oMath>
      <w:r>
        <w:rPr>
          <w:rFonts w:ascii="Times New Roman" w:eastAsia="宋体" w:hAnsi="Times New Roman" w:cs="Times New Roman"/>
          <w:iCs/>
          <w:color w:val="000000" w:themeColor="text1"/>
          <w:kern w:val="24"/>
          <w:sz w:val="24"/>
          <w:szCs w:val="24"/>
        </w:rPr>
        <w:t xml:space="preserve">denotes the topographic vertical velocity of the lowest model layer, </w:t>
      </w:r>
      <m:oMath>
        <m:r>
          <w:rPr>
            <w:rFonts w:ascii="Cambria Math" w:eastAsia="宋体" w:hAnsi="Cambria Math" w:cs="Times New Roman"/>
            <w:color w:val="000000" w:themeColor="text1"/>
            <w:kern w:val="24"/>
            <w:sz w:val="24"/>
            <w:szCs w:val="24"/>
          </w:rPr>
          <m:t>θ</m:t>
        </m:r>
        <m:r>
          <m:rPr>
            <m:sty m:val="p"/>
          </m:rPr>
          <w:rPr>
            <w:rFonts w:ascii="Cambria Math" w:eastAsia="宋体" w:hAnsi="Cambria Math" w:cs="Times New Roman"/>
            <w:color w:val="000000" w:themeColor="text1"/>
            <w:kern w:val="24"/>
            <w:sz w:val="24"/>
            <w:szCs w:val="24"/>
          </w:rPr>
          <m:t xml:space="preserve"> </m:t>
        </m:r>
      </m:oMath>
      <w:r>
        <w:rPr>
          <w:rFonts w:ascii="Times New Roman" w:eastAsia="宋体" w:hAnsi="Times New Roman" w:cs="Times New Roman"/>
          <w:iCs/>
          <w:color w:val="000000" w:themeColor="text1"/>
          <w:kern w:val="24"/>
          <w:sz w:val="24"/>
          <w:szCs w:val="24"/>
        </w:rPr>
        <w:t xml:space="preserve">is the wind direction, </w:t>
      </w:r>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θ</m:t>
            </m:r>
          </m:e>
          <m:sub>
            <m:r>
              <w:rPr>
                <w:rFonts w:ascii="Cambria Math" w:eastAsia="宋体" w:hAnsi="Cambria Math" w:cs="Times New Roman"/>
                <w:color w:val="000000" w:themeColor="text1"/>
                <w:kern w:val="24"/>
                <w:sz w:val="24"/>
                <w:szCs w:val="24"/>
              </w:rPr>
              <m:t>N</m:t>
            </m:r>
          </m:sub>
        </m:sSub>
      </m:oMath>
      <w:r>
        <w:rPr>
          <w:rFonts w:ascii="Times New Roman" w:eastAsia="宋体" w:hAnsi="Times New Roman" w:cs="Times New Roman"/>
          <w:iCs/>
          <w:color w:val="000000" w:themeColor="text1"/>
          <w:kern w:val="24"/>
          <w:sz w:val="24"/>
          <w:szCs w:val="24"/>
        </w:rPr>
        <w:t xml:space="preserve"> is the slope, and </w:t>
      </w:r>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φ</m:t>
            </m:r>
          </m:e>
          <m:sub>
            <m:r>
              <w:rPr>
                <w:rFonts w:ascii="Cambria Math" w:eastAsia="宋体" w:hAnsi="Cambria Math" w:cs="Times New Roman"/>
                <w:color w:val="000000" w:themeColor="text1"/>
                <w:kern w:val="24"/>
                <w:sz w:val="24"/>
                <w:szCs w:val="24"/>
              </w:rPr>
              <m:t>N</m:t>
            </m:r>
          </m:sub>
        </m:sSub>
      </m:oMath>
      <w:r>
        <w:rPr>
          <w:rFonts w:ascii="Times New Roman" w:eastAsia="宋体" w:hAnsi="Times New Roman" w:cs="Times New Roman"/>
          <w:iCs/>
          <w:color w:val="000000" w:themeColor="text1"/>
          <w:kern w:val="24"/>
          <w:sz w:val="24"/>
          <w:szCs w:val="24"/>
        </w:rPr>
        <w:t xml:space="preserve"> is the aspect, </w:t>
      </w:r>
      <w:bookmarkStart w:id="3" w:name="_Hlk127888446"/>
      <w:bookmarkStart w:id="4" w:name="_Hlk127888438"/>
      <m:oMath>
        <m:r>
          <w:rPr>
            <w:rFonts w:ascii="Cambria Math" w:eastAsia="宋体" w:hAnsi="Cambria Math" w:cs="Times New Roman"/>
            <w:color w:val="000000" w:themeColor="text1"/>
            <w:kern w:val="24"/>
            <w:sz w:val="24"/>
            <w:szCs w:val="24"/>
          </w:rPr>
          <m:t>ρ</m:t>
        </m:r>
      </m:oMath>
      <w:bookmarkEnd w:id="3"/>
      <w:r w:rsidR="00EC2E87">
        <w:rPr>
          <w:rFonts w:ascii="Times New Roman" w:eastAsia="宋体" w:hAnsi="Times New Roman" w:cs="Times New Roman" w:hint="eastAsia"/>
          <w:color w:val="000000" w:themeColor="text1"/>
          <w:kern w:val="24"/>
          <w:sz w:val="24"/>
          <w:szCs w:val="24"/>
        </w:rPr>
        <w:t xml:space="preserve"> </w:t>
      </w:r>
      <w:r w:rsidR="00EC2E87">
        <w:rPr>
          <w:rFonts w:ascii="Times New Roman" w:eastAsia="宋体" w:hAnsi="Times New Roman" w:cs="Times New Roman"/>
          <w:color w:val="000000" w:themeColor="text1"/>
          <w:kern w:val="24"/>
          <w:sz w:val="24"/>
          <w:szCs w:val="24"/>
        </w:rPr>
        <w:t>is a</w:t>
      </w:r>
      <w:r w:rsidR="00EC2E87" w:rsidRPr="00EC2E87">
        <w:rPr>
          <w:rFonts w:ascii="Times New Roman" w:eastAsia="宋体" w:hAnsi="Times New Roman" w:cs="Times New Roman"/>
          <w:color w:val="000000" w:themeColor="text1"/>
          <w:kern w:val="24"/>
          <w:sz w:val="24"/>
          <w:szCs w:val="24"/>
        </w:rPr>
        <w:t>ir density</w:t>
      </w:r>
      <w:r>
        <w:rPr>
          <w:rFonts w:ascii="Times New Roman" w:eastAsia="宋体" w:hAnsi="Times New Roman" w:cs="Times New Roman"/>
          <w:i/>
          <w:iCs/>
          <w:sz w:val="24"/>
          <w:szCs w:val="24"/>
        </w:rPr>
        <w:t xml:space="preserve"> </w:t>
      </w:r>
      <w:r>
        <w:rPr>
          <w:rFonts w:ascii="Times New Roman" w:eastAsia="宋体" w:hAnsi="Times New Roman" w:cs="Times New Roman"/>
          <w:sz w:val="24"/>
          <w:szCs w:val="24"/>
        </w:rPr>
        <w:t xml:space="preserve">and </w:t>
      </w:r>
      <w:r>
        <w:rPr>
          <w:rFonts w:ascii="Times New Roman" w:eastAsia="宋体" w:hAnsi="Times New Roman" w:cs="Times New Roman"/>
          <w:i/>
          <w:iCs/>
          <w:sz w:val="24"/>
          <w:szCs w:val="24"/>
        </w:rPr>
        <w:t>g</w:t>
      </w:r>
      <w:r>
        <w:rPr>
          <w:rFonts w:ascii="Times New Roman" w:eastAsia="宋体" w:hAnsi="Times New Roman" w:cs="Times New Roman"/>
          <w:iCs/>
          <w:color w:val="000000" w:themeColor="text1"/>
          <w:kern w:val="24"/>
          <w:sz w:val="24"/>
          <w:szCs w:val="24"/>
        </w:rPr>
        <w:t xml:space="preserve"> </w:t>
      </w:r>
      <w:r w:rsidR="00EC2E87">
        <w:rPr>
          <w:rFonts w:ascii="Times New Roman" w:eastAsia="宋体" w:hAnsi="Times New Roman" w:cs="Times New Roman"/>
          <w:iCs/>
          <w:color w:val="000000" w:themeColor="text1"/>
          <w:kern w:val="24"/>
          <w:sz w:val="24"/>
          <w:szCs w:val="24"/>
        </w:rPr>
        <w:t xml:space="preserve">is </w:t>
      </w:r>
      <w:r w:rsidR="00EC2E87" w:rsidRPr="00EC2E87">
        <w:rPr>
          <w:rFonts w:ascii="Times New Roman" w:eastAsia="宋体" w:hAnsi="Times New Roman" w:cs="Times New Roman"/>
          <w:iCs/>
          <w:color w:val="000000" w:themeColor="text1"/>
          <w:kern w:val="24"/>
          <w:sz w:val="24"/>
          <w:szCs w:val="24"/>
        </w:rPr>
        <w:t>gravitational acceleration</w:t>
      </w:r>
      <w:r>
        <w:rPr>
          <w:rFonts w:ascii="Times New Roman" w:eastAsia="宋体" w:hAnsi="Times New Roman" w:cs="Times New Roman"/>
          <w:iCs/>
          <w:color w:val="000000" w:themeColor="text1"/>
          <w:kern w:val="24"/>
          <w:sz w:val="24"/>
          <w:szCs w:val="24"/>
        </w:rPr>
        <w:t>.</w:t>
      </w:r>
      <w:bookmarkEnd w:id="4"/>
      <w:r>
        <w:rPr>
          <w:rFonts w:ascii="Times New Roman" w:eastAsia="宋体" w:hAnsi="Times New Roman" w:cs="Times New Roman"/>
          <w:iCs/>
          <w:color w:val="000000" w:themeColor="text1"/>
          <w:kern w:val="24"/>
          <w:sz w:val="24"/>
          <w:szCs w:val="24"/>
        </w:rPr>
        <w:t xml:space="preserve"> It can be seen that the surface topographic vertical velocity is proportional to the surface wind speed, the tangent of the slope and the cosine of the angle between the mountain aspect and the wind direction. Figure 1a shows the distribution of surface topographic vertical velocity with the slope and the angle between the wind direction and aspect under unit wind speed. In fact, the angle between the mountain aspect and the wind direction ranges from 0° to 360°. When the angle in the range of 0°–90° or 270°–360°, it indicates an ascending motion, while the angle of 90°–270°, it represents a descending motion. The angle range of 0°–90° is chosen just because it can cover the range of cosine values and is adequately representative.</w:t>
      </w:r>
      <w:r>
        <w:t xml:space="preserve"> </w:t>
      </w:r>
      <w:r>
        <w:rPr>
          <w:rFonts w:ascii="Times New Roman" w:eastAsia="宋体" w:hAnsi="Times New Roman" w:cs="Times New Roman"/>
          <w:iCs/>
          <w:color w:val="000000" w:themeColor="text1"/>
          <w:kern w:val="24"/>
          <w:sz w:val="24"/>
          <w:szCs w:val="24"/>
        </w:rPr>
        <w:t xml:space="preserve">This study only focuses on the simulation of precipitation caused by blocking uplift in windward slopes. At the current model resolution, the maximum slope captured by Digital Elevation Model (DEM) data is 61°, indicating that the maximum surface topographic vertical velocity is about 22Pa/s, and is positively correlated with slope. That is, when the mountain is the steepest and the angle between the wind direction and aspect is the smallest, the topographic vertical velocity reaches the maximum. However, when the slope is less than ~5°, the topographic vertical velocity is </w:t>
      </w:r>
      <w:r w:rsidR="00EC2E87" w:rsidRPr="00EC2E87">
        <w:rPr>
          <w:rFonts w:ascii="Times New Roman" w:eastAsia="宋体" w:hAnsi="Times New Roman" w:cs="Times New Roman"/>
          <w:iCs/>
          <w:color w:val="000000" w:themeColor="text1"/>
          <w:kern w:val="24"/>
          <w:sz w:val="24"/>
          <w:szCs w:val="24"/>
        </w:rPr>
        <w:t>so small that it can be ignored</w:t>
      </w:r>
      <w:r>
        <w:rPr>
          <w:rFonts w:ascii="Times New Roman" w:eastAsia="宋体" w:hAnsi="Times New Roman" w:cs="Times New Roman"/>
          <w:iCs/>
          <w:color w:val="000000" w:themeColor="text1"/>
          <w:kern w:val="24"/>
          <w:sz w:val="24"/>
          <w:szCs w:val="24"/>
        </w:rPr>
        <w:t xml:space="preserve">. </w:t>
      </w:r>
    </w:p>
    <w:p w14:paraId="43B88D06"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Generally, only the single layer, that is the lowest layer, is considered in numerical models. However, in the actual atmospheric movement, the vertical motion not only affects the surface layer, but also affects near surface layers. Although it is realized in theory, it has not been applied in weather/climate prediction. Thus, we extend the vertical velocity from single layer to multi layers, as shown in Eq. (6): </w:t>
      </w:r>
    </w:p>
    <w:p w14:paraId="1A0707A2" w14:textId="77777777" w:rsidR="00E76A53" w:rsidRDefault="00000000">
      <w:pPr>
        <w:spacing w:beforeLines="100" w:before="312" w:afterLines="100" w:after="312"/>
        <w:jc w:val="center"/>
        <w:rPr>
          <w:rFonts w:ascii="Times New Roman" w:eastAsia="宋体" w:hAnsi="Times New Roman" w:cs="Times New Roman"/>
          <w:i/>
          <w:iCs/>
          <w:color w:val="000000" w:themeColor="text1"/>
          <w:kern w:val="24"/>
          <w:sz w:val="24"/>
          <w:szCs w:val="24"/>
        </w:rPr>
      </w:pPr>
      <m:oMath>
        <m:r>
          <w:rPr>
            <w:rFonts w:ascii="Cambria Math" w:eastAsia="宋体" w:hAnsi="Cambria Math" w:cs="Times New Roman"/>
            <w:kern w:val="24"/>
            <w:sz w:val="24"/>
            <w:szCs w:val="24"/>
          </w:rPr>
          <m:t>ω=</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color w:val="000000" w:themeColor="text1"/>
                <w:kern w:val="24"/>
                <w:sz w:val="24"/>
                <w:szCs w:val="24"/>
              </w:rPr>
              <m:t>0</m:t>
            </m:r>
          </m:sub>
        </m:sSub>
        <m:r>
          <w:rPr>
            <w:rFonts w:ascii="Cambria Math" w:eastAsia="宋体" w:hAnsi="Cambria Math" w:cs="Times New Roman"/>
            <w:kern w:val="24"/>
            <w:sz w:val="24"/>
            <w:szCs w:val="24"/>
          </w:rPr>
          <m:t>+</m:t>
        </m:r>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hint="eastAsia"/>
                <w:color w:val="000000" w:themeColor="text1"/>
                <w:kern w:val="24"/>
                <w:sz w:val="24"/>
                <w:szCs w:val="24"/>
              </w:rPr>
              <m:t>s</m:t>
            </m:r>
          </m:sub>
        </m:sSub>
      </m:oMath>
      <w:r>
        <w:rPr>
          <w:rFonts w:ascii="Times New Roman" w:eastAsia="宋体" w:hAnsi="Times New Roman" w:cs="Times New Roman"/>
          <w:i/>
          <w:iCs/>
          <w:kern w:val="24"/>
          <w:sz w:val="24"/>
          <w:szCs w:val="24"/>
        </w:rPr>
        <w:t>×</w:t>
      </w:r>
      <m:oMath>
        <m:r>
          <w:rPr>
            <w:rFonts w:ascii="Cambria Math" w:eastAsia="宋体" w:hAnsi="Cambria Math" w:cs="Times New Roman"/>
            <w:color w:val="000000" w:themeColor="text1"/>
            <w:kern w:val="24"/>
            <w:sz w:val="24"/>
            <w:szCs w:val="24"/>
          </w:rPr>
          <m:t>γ,</m:t>
        </m:r>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(6)</m:t>
        </m:r>
      </m:oMath>
    </w:p>
    <w:p w14:paraId="1ABC8D46" w14:textId="77777777" w:rsidR="00E76A53" w:rsidRDefault="00000000">
      <w:pPr>
        <w:spacing w:beforeLines="100" w:before="312" w:afterLines="100" w:after="312"/>
        <w:jc w:val="left"/>
        <w:rPr>
          <w:rFonts w:ascii="Times New Roman" w:eastAsia="宋体" w:hAnsi="Times New Roman" w:cs="Times New Roman"/>
          <w:kern w:val="24"/>
          <w:sz w:val="24"/>
          <w:szCs w:val="24"/>
        </w:rPr>
      </w:pPr>
      <w:r>
        <w:rPr>
          <w:rFonts w:ascii="Times New Roman" w:eastAsia="宋体" w:hAnsi="Times New Roman" w:cs="Times New Roman"/>
          <w:sz w:val="24"/>
          <w:szCs w:val="24"/>
        </w:rPr>
        <w:t xml:space="preserve">where </w:t>
      </w:r>
      <m:oMath>
        <m:r>
          <w:rPr>
            <w:rFonts w:ascii="Cambria Math" w:hAnsi="Cambria Math" w:cs="Cambria Math"/>
            <w:color w:val="000000" w:themeColor="text1"/>
            <w:kern w:val="24"/>
            <w:sz w:val="24"/>
            <w:szCs w:val="24"/>
          </w:rPr>
          <m:t>γ</m:t>
        </m:r>
      </m:oMath>
      <w:r>
        <w:rPr>
          <w:rFonts w:ascii="Times New Roman" w:eastAsia="宋体" w:hAnsi="Times New Roman" w:cs="Times New Roman"/>
          <w:i/>
          <w:iCs/>
          <w:kern w:val="24"/>
          <w:sz w:val="24"/>
          <w:szCs w:val="24"/>
        </w:rPr>
        <w:t xml:space="preserve"> </w:t>
      </w:r>
      <w:r>
        <w:rPr>
          <w:rFonts w:ascii="Times New Roman" w:eastAsia="宋体" w:hAnsi="Times New Roman" w:cs="Times New Roman"/>
          <w:kern w:val="24"/>
          <w:sz w:val="24"/>
          <w:szCs w:val="24"/>
        </w:rPr>
        <w:t xml:space="preserve">indicates the attenuation coefficient of topographic vertical velocity </w:t>
      </w:r>
      <m:oMath>
        <m:sSub>
          <m:sSubPr>
            <m:ctrlPr>
              <w:rPr>
                <w:rFonts w:ascii="Cambria Math" w:eastAsia="宋体" w:hAnsi="Cambria Math" w:cs="Times New Roman"/>
                <w:iCs/>
                <w:color w:val="000000" w:themeColor="text1"/>
                <w:kern w:val="24"/>
                <w:sz w:val="24"/>
                <w:szCs w:val="24"/>
              </w:rPr>
            </m:ctrlPr>
          </m:sSubPr>
          <m:e>
            <m:r>
              <w:rPr>
                <w:rFonts w:ascii="Cambria Math" w:eastAsia="宋体" w:hAnsi="Cambria Math" w:cs="Times New Roman"/>
                <w:color w:val="000000" w:themeColor="text1"/>
                <w:kern w:val="24"/>
                <w:sz w:val="24"/>
                <w:szCs w:val="24"/>
              </w:rPr>
              <m:t>ω</m:t>
            </m:r>
          </m:e>
          <m:sub>
            <m:r>
              <w:rPr>
                <w:rFonts w:ascii="Cambria Math" w:eastAsia="宋体" w:hAnsi="Cambria Math" w:cs="Times New Roman"/>
                <w:color w:val="000000" w:themeColor="text1"/>
                <w:kern w:val="24"/>
                <w:sz w:val="24"/>
                <w:szCs w:val="24"/>
              </w:rPr>
              <m:t>s</m:t>
            </m:r>
          </m:sub>
        </m:sSub>
      </m:oMath>
      <w:r>
        <w:rPr>
          <w:rFonts w:ascii="Times New Roman" w:eastAsia="宋体" w:hAnsi="Times New Roman" w:cs="Times New Roman"/>
          <w:kern w:val="24"/>
          <w:sz w:val="24"/>
          <w:szCs w:val="24"/>
        </w:rPr>
        <w:t xml:space="preserve"> and it increases with the elevation, as shown in Eq. (7):</w:t>
      </w:r>
    </w:p>
    <w:p w14:paraId="4E846B7A" w14:textId="77777777" w:rsidR="00E76A53" w:rsidRDefault="00000000">
      <w:pPr>
        <w:spacing w:beforeLines="100" w:before="312" w:afterLines="100" w:after="312"/>
        <w:rPr>
          <w:rFonts w:ascii="Cambria Math" w:hAnsi="Cambria Math" w:cs="Cambria Math"/>
          <w:i/>
          <w:color w:val="000000" w:themeColor="text1"/>
          <w:kern w:val="24"/>
          <w:sz w:val="24"/>
          <w:szCs w:val="24"/>
        </w:rPr>
      </w:pPr>
      <m:oMathPara>
        <m:oMath>
          <m:r>
            <w:rPr>
              <w:rFonts w:ascii="Cambria Math" w:hAnsi="Cambria Math" w:cs="Cambria Math"/>
              <w:color w:val="000000" w:themeColor="text1"/>
              <w:kern w:val="24"/>
              <w:sz w:val="24"/>
              <w:szCs w:val="24"/>
            </w:rPr>
            <m:t>γ=</m:t>
          </m:r>
          <m:f>
            <m:fPr>
              <m:ctrlPr>
                <w:rPr>
                  <w:rFonts w:ascii="Cambria Math" w:eastAsia="宋体" w:hAnsi="Cambria Math" w:cs="Cambria Math"/>
                  <w:kern w:val="24"/>
                  <w:sz w:val="24"/>
                  <w:szCs w:val="24"/>
                </w:rPr>
              </m:ctrlPr>
            </m:fPr>
            <m:num>
              <m:r>
                <w:rPr>
                  <w:rFonts w:ascii="Cambria Math" w:eastAsia="宋体" w:hAnsi="Cambria Math" w:cs="Cambria Math"/>
                  <w:kern w:val="24"/>
                  <w:sz w:val="24"/>
                  <w:szCs w:val="24"/>
                </w:rPr>
                <m:t>sh</m:t>
              </m:r>
              <m:r>
                <m:rPr>
                  <m:sty m:val="p"/>
                </m:rPr>
                <w:rPr>
                  <w:rFonts w:ascii="Cambria Math" w:eastAsia="宋体" w:hAnsi="Cambria Math" w:cs="Cambria Math"/>
                  <w:kern w:val="24"/>
                  <w:sz w:val="24"/>
                  <w:szCs w:val="24"/>
                </w:rPr>
                <m:t>(</m:t>
              </m:r>
              <m:rad>
                <m:radPr>
                  <m:ctrlPr>
                    <w:rPr>
                      <w:rFonts w:ascii="Cambria Math" w:eastAsia="宋体" w:hAnsi="Cambria Math" w:cs="Cambria Math"/>
                      <w:kern w:val="24"/>
                      <w:sz w:val="24"/>
                      <w:szCs w:val="24"/>
                    </w:rPr>
                  </m:ctrlPr>
                </m:radPr>
                <m:deg>
                  <m:r>
                    <m:rPr>
                      <m:sty m:val="p"/>
                    </m:rPr>
                    <w:rPr>
                      <w:rFonts w:ascii="Cambria Math" w:eastAsia="宋体" w:hAnsi="Cambria Math" w:cs="Cambria Math"/>
                      <w:kern w:val="24"/>
                      <w:sz w:val="24"/>
                      <w:szCs w:val="24"/>
                    </w:rPr>
                    <m:t>2</m:t>
                  </m:r>
                </m:deg>
                <m:e>
                  <m:r>
                    <m:rPr>
                      <m:sty m:val="p"/>
                    </m:rPr>
                    <w:rPr>
                      <w:rFonts w:ascii="Cambria Math" w:eastAsia="宋体" w:hAnsi="Cambria Math" w:cs="Cambria Math"/>
                      <w:kern w:val="24"/>
                      <w:sz w:val="24"/>
                      <w:szCs w:val="24"/>
                    </w:rPr>
                    <m:t>2</m:t>
                  </m:r>
                </m:e>
              </m:rad>
              <m:f>
                <m:fPr>
                  <m:ctrlPr>
                    <w:rPr>
                      <w:rFonts w:ascii="Cambria Math" w:eastAsia="宋体" w:hAnsi="Cambria Math" w:cs="Cambria Math"/>
                      <w:kern w:val="24"/>
                      <w:sz w:val="24"/>
                      <w:szCs w:val="24"/>
                    </w:rPr>
                  </m:ctrlPr>
                </m:fPr>
                <m:num>
                  <m:r>
                    <m:rPr>
                      <m:sty m:val="p"/>
                    </m:rPr>
                    <w:rPr>
                      <w:rFonts w:ascii="Cambria Math" w:eastAsia="宋体" w:hAnsi="Cambria Math" w:cs="Cambria Math"/>
                      <w:kern w:val="24"/>
                      <w:sz w:val="24"/>
                      <w:szCs w:val="24"/>
                    </w:rPr>
                    <m:t>2</m:t>
                  </m:r>
                  <m:r>
                    <w:rPr>
                      <w:rFonts w:ascii="Cambria Math" w:eastAsia="宋体" w:hAnsi="Cambria Math" w:cs="Cambria Math"/>
                      <w:kern w:val="24"/>
                      <w:sz w:val="24"/>
                      <w:szCs w:val="24"/>
                    </w:rPr>
                    <m:t>π</m:t>
                  </m:r>
                </m:num>
                <m:den>
                  <m:r>
                    <w:rPr>
                      <w:rFonts w:ascii="Cambria Math" w:eastAsia="宋体" w:hAnsi="Cambria Math" w:cs="Cambria Math"/>
                      <w:kern w:val="24"/>
                      <w:sz w:val="24"/>
                      <w:szCs w:val="24"/>
                    </w:rPr>
                    <m:t>L</m:t>
                  </m:r>
                </m:den>
              </m:f>
              <m:rad>
                <m:radPr>
                  <m:degHide m:val="1"/>
                  <m:ctrlPr>
                    <w:rPr>
                      <w:rFonts w:ascii="Cambria Math" w:eastAsia="宋体" w:hAnsi="Cambria Math" w:cs="Cambria Math"/>
                      <w:kern w:val="24"/>
                      <w:sz w:val="24"/>
                      <w:szCs w:val="24"/>
                    </w:rPr>
                  </m:ctrlPr>
                </m:radPr>
                <m:deg/>
                <m:e>
                  <m:f>
                    <m:fPr>
                      <m:ctrlPr>
                        <w:rPr>
                          <w:rFonts w:ascii="Cambria Math" w:eastAsia="宋体" w:hAnsi="Cambria Math" w:cs="Cambria Math"/>
                          <w:kern w:val="24"/>
                          <w:sz w:val="24"/>
                          <w:szCs w:val="24"/>
                        </w:rPr>
                      </m:ctrlPr>
                    </m:fPr>
                    <m:num>
                      <m:r>
                        <w:rPr>
                          <w:rFonts w:ascii="Cambria Math" w:eastAsia="宋体" w:hAnsi="Cambria Math" w:cs="Cambria Math"/>
                          <w:kern w:val="24"/>
                          <w:sz w:val="24"/>
                          <w:szCs w:val="24"/>
                        </w:rPr>
                        <m:t>σ</m:t>
                      </m:r>
                    </m:num>
                    <m:den>
                      <m:sSup>
                        <m:sSupPr>
                          <m:ctrlPr>
                            <w:rPr>
                              <w:rFonts w:ascii="Cambria Math" w:eastAsia="宋体" w:hAnsi="Cambria Math" w:cs="Cambria Math"/>
                              <w:kern w:val="24"/>
                              <w:sz w:val="24"/>
                              <w:szCs w:val="24"/>
                            </w:rPr>
                          </m:ctrlPr>
                        </m:sSupPr>
                        <m:e>
                          <m:r>
                            <w:rPr>
                              <w:rFonts w:ascii="Cambria Math" w:eastAsia="宋体" w:hAnsi="Cambria Math" w:cs="Cambria Math"/>
                              <w:kern w:val="24"/>
                              <w:sz w:val="24"/>
                              <w:szCs w:val="24"/>
                            </w:rPr>
                            <m:t>f</m:t>
                          </m:r>
                        </m:e>
                        <m:sup>
                          <m:r>
                            <m:rPr>
                              <m:sty m:val="p"/>
                            </m:rPr>
                            <w:rPr>
                              <w:rFonts w:ascii="Cambria Math" w:eastAsia="宋体" w:hAnsi="Cambria Math" w:cs="Cambria Math"/>
                              <w:kern w:val="24"/>
                              <w:sz w:val="24"/>
                              <w:szCs w:val="24"/>
                            </w:rPr>
                            <m:t>2</m:t>
                          </m:r>
                        </m:sup>
                      </m:sSup>
                    </m:den>
                  </m:f>
                </m:e>
              </m:rad>
              <m:r>
                <m:rPr>
                  <m:sty m:val="p"/>
                </m:rPr>
                <w:rPr>
                  <w:rFonts w:ascii="Cambria Math" w:eastAsia="宋体" w:hAnsi="Times New Roman" w:cs="Cambria Math" w:hint="eastAsia"/>
                  <w:kern w:val="24"/>
                  <w:sz w:val="24"/>
                  <w:szCs w:val="24"/>
                </w:rPr>
                <m:t>×</m:t>
              </m:r>
              <m:r>
                <w:rPr>
                  <w:rFonts w:ascii="Cambria Math" w:eastAsia="宋体" w:hAnsi="Cambria Math" w:cs="Cambria Math"/>
                  <w:kern w:val="24"/>
                  <w:sz w:val="24"/>
                  <w:szCs w:val="24"/>
                </w:rPr>
                <m:t>p</m:t>
              </m:r>
              <m:r>
                <m:rPr>
                  <m:sty m:val="p"/>
                </m:rPr>
                <w:rPr>
                  <w:rFonts w:ascii="Cambria Math" w:eastAsia="宋体" w:hAnsi="Cambria Math" w:cs="Cambria Math"/>
                  <w:kern w:val="24"/>
                  <w:sz w:val="24"/>
                  <w:szCs w:val="24"/>
                </w:rPr>
                <m:t>)</m:t>
              </m:r>
            </m:num>
            <m:den>
              <m:r>
                <w:rPr>
                  <w:rFonts w:ascii="Cambria Math" w:eastAsia="宋体" w:hAnsi="Cambria Math" w:cs="Cambria Math"/>
                  <w:kern w:val="24"/>
                  <w:sz w:val="24"/>
                  <w:szCs w:val="24"/>
                </w:rPr>
                <m:t>sh</m:t>
              </m:r>
              <m:r>
                <m:rPr>
                  <m:sty m:val="p"/>
                </m:rPr>
                <w:rPr>
                  <w:rFonts w:ascii="Cambria Math" w:eastAsia="宋体" w:hAnsi="Cambria Math" w:cs="Cambria Math"/>
                  <w:kern w:val="24"/>
                  <w:sz w:val="24"/>
                  <w:szCs w:val="24"/>
                </w:rPr>
                <m:t>(</m:t>
              </m:r>
              <m:rad>
                <m:radPr>
                  <m:ctrlPr>
                    <w:rPr>
                      <w:rFonts w:ascii="Cambria Math" w:eastAsia="宋体" w:hAnsi="Cambria Math" w:cs="Cambria Math"/>
                      <w:kern w:val="24"/>
                      <w:sz w:val="24"/>
                      <w:szCs w:val="24"/>
                    </w:rPr>
                  </m:ctrlPr>
                </m:radPr>
                <m:deg>
                  <m:r>
                    <m:rPr>
                      <m:sty m:val="p"/>
                    </m:rPr>
                    <w:rPr>
                      <w:rFonts w:ascii="Cambria Math" w:eastAsia="宋体" w:hAnsi="Cambria Math" w:cs="Cambria Math"/>
                      <w:kern w:val="24"/>
                      <w:sz w:val="24"/>
                      <w:szCs w:val="24"/>
                    </w:rPr>
                    <m:t>2</m:t>
                  </m:r>
                </m:deg>
                <m:e>
                  <m:r>
                    <m:rPr>
                      <m:sty m:val="p"/>
                    </m:rPr>
                    <w:rPr>
                      <w:rFonts w:ascii="Cambria Math" w:eastAsia="宋体" w:hAnsi="Cambria Math" w:cs="Cambria Math"/>
                      <w:kern w:val="24"/>
                      <w:sz w:val="24"/>
                      <w:szCs w:val="24"/>
                    </w:rPr>
                    <m:t>2</m:t>
                  </m:r>
                </m:e>
              </m:rad>
              <m:f>
                <m:fPr>
                  <m:ctrlPr>
                    <w:rPr>
                      <w:rFonts w:ascii="Cambria Math" w:eastAsia="宋体" w:hAnsi="Cambria Math" w:cs="Cambria Math"/>
                      <w:kern w:val="24"/>
                      <w:sz w:val="24"/>
                      <w:szCs w:val="24"/>
                    </w:rPr>
                  </m:ctrlPr>
                </m:fPr>
                <m:num>
                  <m:r>
                    <m:rPr>
                      <m:sty m:val="p"/>
                    </m:rPr>
                    <w:rPr>
                      <w:rFonts w:ascii="Cambria Math" w:eastAsia="宋体" w:hAnsi="Cambria Math" w:cs="Cambria Math"/>
                      <w:kern w:val="24"/>
                      <w:sz w:val="24"/>
                      <w:szCs w:val="24"/>
                    </w:rPr>
                    <m:t>2</m:t>
                  </m:r>
                  <m:r>
                    <w:rPr>
                      <w:rFonts w:ascii="Cambria Math" w:eastAsia="宋体" w:hAnsi="Cambria Math" w:cs="Cambria Math"/>
                      <w:kern w:val="24"/>
                      <w:sz w:val="24"/>
                      <w:szCs w:val="24"/>
                    </w:rPr>
                    <m:t>π</m:t>
                  </m:r>
                </m:num>
                <m:den>
                  <m:r>
                    <w:rPr>
                      <w:rFonts w:ascii="Cambria Math" w:eastAsia="宋体" w:hAnsi="Cambria Math" w:cs="Cambria Math"/>
                      <w:kern w:val="24"/>
                      <w:sz w:val="24"/>
                      <w:szCs w:val="24"/>
                    </w:rPr>
                    <m:t>L</m:t>
                  </m:r>
                </m:den>
              </m:f>
              <m:rad>
                <m:radPr>
                  <m:degHide m:val="1"/>
                  <m:ctrlPr>
                    <w:rPr>
                      <w:rFonts w:ascii="Cambria Math" w:eastAsia="宋体" w:hAnsi="Cambria Math" w:cs="Cambria Math"/>
                      <w:kern w:val="24"/>
                      <w:sz w:val="24"/>
                      <w:szCs w:val="24"/>
                    </w:rPr>
                  </m:ctrlPr>
                </m:radPr>
                <m:deg/>
                <m:e>
                  <m:f>
                    <m:fPr>
                      <m:ctrlPr>
                        <w:rPr>
                          <w:rFonts w:ascii="Cambria Math" w:eastAsia="宋体" w:hAnsi="Cambria Math" w:cs="Cambria Math"/>
                          <w:kern w:val="24"/>
                          <w:sz w:val="24"/>
                          <w:szCs w:val="24"/>
                        </w:rPr>
                      </m:ctrlPr>
                    </m:fPr>
                    <m:num>
                      <m:r>
                        <w:rPr>
                          <w:rFonts w:ascii="Cambria Math" w:eastAsia="宋体" w:hAnsi="Cambria Math" w:cs="Cambria Math"/>
                          <w:kern w:val="24"/>
                          <w:sz w:val="24"/>
                          <w:szCs w:val="24"/>
                        </w:rPr>
                        <m:t>σ</m:t>
                      </m:r>
                    </m:num>
                    <m:den>
                      <m:sSup>
                        <m:sSupPr>
                          <m:ctrlPr>
                            <w:rPr>
                              <w:rFonts w:ascii="Cambria Math" w:eastAsia="宋体" w:hAnsi="Cambria Math" w:cs="Cambria Math"/>
                              <w:kern w:val="24"/>
                              <w:sz w:val="24"/>
                              <w:szCs w:val="24"/>
                            </w:rPr>
                          </m:ctrlPr>
                        </m:sSupPr>
                        <m:e>
                          <m:r>
                            <w:rPr>
                              <w:rFonts w:ascii="Cambria Math" w:eastAsia="宋体" w:hAnsi="Cambria Math" w:cs="Cambria Math"/>
                              <w:kern w:val="24"/>
                              <w:sz w:val="24"/>
                              <w:szCs w:val="24"/>
                            </w:rPr>
                            <m:t>f</m:t>
                          </m:r>
                        </m:e>
                        <m:sup>
                          <m:r>
                            <m:rPr>
                              <m:sty m:val="p"/>
                            </m:rPr>
                            <w:rPr>
                              <w:rFonts w:ascii="Cambria Math" w:eastAsia="宋体" w:hAnsi="Cambria Math" w:cs="Cambria Math"/>
                              <w:kern w:val="24"/>
                              <w:sz w:val="24"/>
                              <w:szCs w:val="24"/>
                            </w:rPr>
                            <m:t>2</m:t>
                          </m:r>
                        </m:sup>
                      </m:sSup>
                    </m:den>
                  </m:f>
                </m:e>
              </m:rad>
              <m:r>
                <m:rPr>
                  <m:sty m:val="p"/>
                </m:rPr>
                <w:rPr>
                  <w:rFonts w:ascii="Cambria Math" w:eastAsia="宋体" w:hAnsi="Times New Roman" w:cs="Cambria Math" w:hint="eastAsia"/>
                  <w:kern w:val="24"/>
                  <w:sz w:val="24"/>
                  <w:szCs w:val="24"/>
                </w:rPr>
                <m:t>×</m:t>
              </m:r>
              <m:sSub>
                <m:sSubPr>
                  <m:ctrlPr>
                    <w:rPr>
                      <w:rFonts w:ascii="Cambria Math" w:eastAsia="宋体" w:hAnsi="Cambria Math" w:cs="Cambria Math"/>
                      <w:kern w:val="24"/>
                      <w:sz w:val="24"/>
                      <w:szCs w:val="24"/>
                    </w:rPr>
                  </m:ctrlPr>
                </m:sSubPr>
                <m:e>
                  <m:r>
                    <w:rPr>
                      <w:rFonts w:ascii="Cambria Math" w:eastAsia="宋体" w:hAnsi="Cambria Math" w:cs="Cambria Math"/>
                      <w:kern w:val="24"/>
                      <w:sz w:val="24"/>
                      <w:szCs w:val="24"/>
                    </w:rPr>
                    <m:t>p</m:t>
                  </m:r>
                </m:e>
                <m:sub>
                  <m:r>
                    <m:rPr>
                      <m:sty m:val="p"/>
                    </m:rPr>
                    <w:rPr>
                      <w:rFonts w:ascii="Cambria Math" w:eastAsia="宋体" w:hAnsi="Cambria Math" w:cs="Cambria Math"/>
                      <w:kern w:val="24"/>
                      <w:sz w:val="24"/>
                      <w:szCs w:val="24"/>
                    </w:rPr>
                    <m:t>0</m:t>
                  </m:r>
                </m:sub>
              </m:sSub>
            </m:den>
          </m:f>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(7)</m:t>
          </m:r>
        </m:oMath>
      </m:oMathPara>
    </w:p>
    <w:p w14:paraId="491C183D"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hint="eastAsia"/>
          <w:sz w:val="24"/>
          <w:szCs w:val="24"/>
        </w:rPr>
        <w:t>w</w:t>
      </w:r>
      <w:r>
        <w:rPr>
          <w:rFonts w:ascii="Times New Roman" w:eastAsia="宋体" w:hAnsi="Times New Roman" w:cs="Times New Roman"/>
          <w:sz w:val="24"/>
          <w:szCs w:val="24"/>
        </w:rPr>
        <w:t xml:space="preserve">here </w:t>
      </w:r>
      <w:r>
        <w:rPr>
          <w:rFonts w:ascii="Times New Roman" w:eastAsia="宋体" w:hAnsi="Times New Roman" w:cs="Times New Roman"/>
          <w:i/>
          <w:sz w:val="24"/>
          <w:szCs w:val="24"/>
        </w:rPr>
        <w:t>f</w:t>
      </w:r>
      <w:r>
        <w:rPr>
          <w:rFonts w:ascii="Times New Roman" w:eastAsia="宋体" w:hAnsi="Times New Roman" w:cs="Times New Roman"/>
          <w:sz w:val="24"/>
          <w:szCs w:val="24"/>
        </w:rPr>
        <w:t xml:space="preserve"> represents the Coriolis term, </w:t>
      </w:r>
      <m:oMath>
        <m:sSub>
          <m:sSubPr>
            <m:ctrlPr>
              <w:rPr>
                <w:rFonts w:ascii="Cambria Math" w:eastAsia="宋体" w:hAnsi="Cambria Math" w:cs="Cambria Math"/>
                <w:kern w:val="24"/>
                <w:sz w:val="24"/>
                <w:szCs w:val="24"/>
              </w:rPr>
            </m:ctrlPr>
          </m:sSubPr>
          <m:e>
            <m:r>
              <w:rPr>
                <w:rFonts w:ascii="Cambria Math" w:eastAsia="宋体" w:hAnsi="Cambria Math" w:cs="Cambria Math"/>
                <w:kern w:val="24"/>
                <w:sz w:val="24"/>
                <w:szCs w:val="24"/>
              </w:rPr>
              <m:t>p</m:t>
            </m:r>
          </m:e>
          <m:sub>
            <m:r>
              <m:rPr>
                <m:sty m:val="p"/>
              </m:rPr>
              <w:rPr>
                <w:rFonts w:ascii="Cambria Math" w:eastAsia="宋体" w:hAnsi="Cambria Math" w:cs="Cambria Math"/>
                <w:kern w:val="24"/>
                <w:sz w:val="24"/>
                <w:szCs w:val="24"/>
              </w:rPr>
              <m:t>0</m:t>
            </m:r>
          </m:sub>
        </m:sSub>
      </m:oMath>
      <w:r>
        <w:rPr>
          <w:rFonts w:ascii="Times New Roman" w:eastAsia="宋体" w:hAnsi="Times New Roman" w:cs="Times New Roman"/>
          <w:kern w:val="24"/>
          <w:sz w:val="24"/>
          <w:szCs w:val="24"/>
        </w:rPr>
        <w:t xml:space="preserve"> is the </w:t>
      </w:r>
      <w:r>
        <w:rPr>
          <w:rFonts w:ascii="Times New Roman" w:eastAsia="宋体" w:hAnsi="Times New Roman" w:cs="Times New Roman"/>
          <w:sz w:val="24"/>
          <w:szCs w:val="24"/>
        </w:rPr>
        <w:t xml:space="preserve">reference pressure, </w:t>
      </w:r>
      <w:r>
        <w:rPr>
          <w:rFonts w:ascii="Times New Roman" w:eastAsia="宋体" w:hAnsi="Times New Roman" w:cs="Times New Roman"/>
          <w:i/>
          <w:sz w:val="24"/>
          <w:szCs w:val="24"/>
        </w:rPr>
        <w:t>p</w:t>
      </w:r>
      <w:r>
        <w:rPr>
          <w:rFonts w:ascii="Times New Roman" w:eastAsia="宋体" w:hAnsi="Times New Roman" w:cs="Times New Roman"/>
          <w:sz w:val="24"/>
          <w:szCs w:val="24"/>
        </w:rPr>
        <w:t xml:space="preserve"> is the actual pressure, </w:t>
      </w:r>
      <m:oMath>
        <m:r>
          <w:rPr>
            <w:rFonts w:ascii="Cambria Math" w:eastAsia="宋体" w:hAnsi="Cambria Math" w:cs="Times New Roman"/>
            <w:sz w:val="24"/>
            <w:szCs w:val="24"/>
          </w:rPr>
          <m:t>σ=-</m:t>
        </m:r>
        <m:f>
          <m:fPr>
            <m:ctrlPr>
              <w:rPr>
                <w:rFonts w:ascii="Cambria Math" w:eastAsia="宋体" w:hAnsi="Cambria Math" w:cs="Times New Roman"/>
                <w:sz w:val="24"/>
                <w:szCs w:val="24"/>
              </w:rPr>
            </m:ctrlPr>
          </m:fPr>
          <m:num>
            <m:r>
              <w:rPr>
                <w:rFonts w:ascii="Cambria Math" w:eastAsia="宋体" w:hAnsi="Cambria Math" w:cs="Times New Roman"/>
                <w:sz w:val="24"/>
                <w:szCs w:val="24"/>
              </w:rPr>
              <m:t>T</m:t>
            </m:r>
          </m:num>
          <m:den>
            <m:r>
              <w:rPr>
                <w:rFonts w:ascii="Cambria Math" w:eastAsia="宋体" w:hAnsi="Cambria Math" w:cs="Times New Roman"/>
                <w:sz w:val="24"/>
                <w:szCs w:val="24"/>
              </w:rPr>
              <m:t>θ</m:t>
            </m:r>
          </m:den>
        </m:f>
        <m:f>
          <m:fPr>
            <m:ctrlPr>
              <w:rPr>
                <w:rFonts w:ascii="Cambria Math" w:eastAsia="宋体" w:hAnsi="Cambria Math" w:cs="Times New Roman"/>
                <w:sz w:val="24"/>
                <w:szCs w:val="24"/>
              </w:rPr>
            </m:ctrlPr>
          </m:fPr>
          <m:num>
            <m:r>
              <m:rPr>
                <m:sty m:val="p"/>
              </m:rPr>
              <w:rPr>
                <w:rFonts w:ascii="Cambria Math" w:eastAsia="宋体" w:hAnsi="Cambria Math" w:cs="Times New Roman"/>
                <w:sz w:val="24"/>
                <w:szCs w:val="24"/>
              </w:rPr>
              <m:t>∂</m:t>
            </m:r>
            <m:r>
              <w:rPr>
                <w:rFonts w:ascii="Cambria Math" w:eastAsia="宋体" w:hAnsi="Cambria Math" w:cs="Times New Roman"/>
                <w:sz w:val="24"/>
                <w:szCs w:val="24"/>
              </w:rPr>
              <m:t>θ</m:t>
            </m:r>
          </m:num>
          <m:den>
            <m:r>
              <m:rPr>
                <m:sty m:val="p"/>
              </m:rPr>
              <w:rPr>
                <w:rFonts w:ascii="Cambria Math" w:eastAsia="宋体" w:hAnsi="Cambria Math" w:cs="Times New Roman"/>
                <w:sz w:val="24"/>
                <w:szCs w:val="24"/>
              </w:rPr>
              <m:t>∂</m:t>
            </m:r>
            <m:r>
              <w:rPr>
                <w:rFonts w:ascii="Cambria Math" w:eastAsia="宋体" w:hAnsi="Cambria Math" w:cs="Times New Roman"/>
                <w:sz w:val="24"/>
                <w:szCs w:val="24"/>
              </w:rPr>
              <m:t>p</m:t>
            </m:r>
          </m:den>
        </m:f>
      </m:oMath>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is a constant, and </w:t>
      </w:r>
      <w:r>
        <w:rPr>
          <w:rFonts w:ascii="Times New Roman" w:eastAsia="宋体" w:hAnsi="Times New Roman" w:cs="Times New Roman"/>
          <w:i/>
          <w:sz w:val="24"/>
          <w:szCs w:val="24"/>
        </w:rPr>
        <w:t>L</w:t>
      </w:r>
      <w:r>
        <w:rPr>
          <w:rFonts w:ascii="Times New Roman" w:eastAsia="宋体" w:hAnsi="Times New Roman" w:cs="Times New Roman"/>
          <w:sz w:val="24"/>
          <w:szCs w:val="24"/>
        </w:rPr>
        <w:t xml:space="preserve"> is the wavelength. Because the complexity of hyperbolic sine function calculation and the fact that the initial pressure in complex terrain areas actually does not start from the sea level but from the surface layer, we simplify Eq. (8) according to Taylor's formula to make </w:t>
      </w:r>
      <m:oMath>
        <m:r>
          <w:rPr>
            <w:rFonts w:ascii="Cambria Math" w:hAnsi="Cambria Math" w:cs="Cambria Math"/>
            <w:color w:val="000000" w:themeColor="text1"/>
            <w:kern w:val="24"/>
            <w:sz w:val="24"/>
            <w:szCs w:val="24"/>
          </w:rPr>
          <m:t>γ</m:t>
        </m:r>
      </m:oMath>
      <w:r>
        <w:rPr>
          <w:rFonts w:ascii="Times New Roman" w:eastAsia="宋体" w:hAnsi="Times New Roman" w:cs="Times New Roman"/>
          <w:sz w:val="24"/>
          <w:szCs w:val="24"/>
        </w:rPr>
        <w:t xml:space="preserve"> become an exponential function that varies only with latitude and pressure difference </w:t>
      </w:r>
      <m:oMath>
        <m:r>
          <w:rPr>
            <w:rFonts w:ascii="Cambria Math" w:hAnsi="Cambria Math" w:cs="Cambria Math"/>
            <w:color w:val="000000" w:themeColor="text1"/>
            <w:kern w:val="24"/>
            <w:sz w:val="24"/>
            <w:szCs w:val="24"/>
          </w:rPr>
          <m:t>∆p</m:t>
        </m:r>
      </m:oMath>
      <w:r>
        <w:rPr>
          <w:rFonts w:ascii="Times New Roman" w:eastAsia="宋体" w:hAnsi="Times New Roman" w:cs="Times New Roman"/>
          <w:sz w:val="24"/>
          <w:szCs w:val="24"/>
        </w:rPr>
        <w:t>:</w:t>
      </w:r>
    </w:p>
    <w:p w14:paraId="55DAABBC" w14:textId="77777777" w:rsidR="00E76A53" w:rsidRDefault="00000000">
      <w:pPr>
        <w:spacing w:beforeLines="100" w:before="312" w:afterLines="100" w:after="312"/>
        <w:jc w:val="center"/>
        <w:rPr>
          <w:rFonts w:ascii="Cambria Math" w:hAnsi="Cambria Math" w:cs="Cambria Math"/>
          <w:i/>
          <w:iCs/>
          <w:color w:val="000000" w:themeColor="text1"/>
          <w:kern w:val="24"/>
          <w:sz w:val="24"/>
          <w:szCs w:val="24"/>
        </w:rPr>
      </w:pPr>
      <m:oMathPara>
        <m:oMath>
          <m:r>
            <w:rPr>
              <w:rFonts w:ascii="Cambria Math" w:hAnsi="Cambria Math" w:cs="Cambria Math" w:hint="eastAsia"/>
              <w:color w:val="000000" w:themeColor="text1"/>
              <w:kern w:val="24"/>
              <w:sz w:val="24"/>
              <w:szCs w:val="24"/>
            </w:rPr>
            <m:t>γ</m:t>
          </m:r>
          <m:r>
            <w:rPr>
              <w:rFonts w:ascii="Cambria Math" w:hAnsi="Cambria Math" w:cs="Cambria Math" w:hint="eastAsia"/>
              <w:color w:val="000000" w:themeColor="text1"/>
              <w:kern w:val="24"/>
              <w:sz w:val="24"/>
              <w:szCs w:val="24"/>
            </w:rPr>
            <m:t>≈</m:t>
          </m:r>
          <m:sSup>
            <m:sSupPr>
              <m:ctrlPr>
                <w:rPr>
                  <w:rFonts w:ascii="Cambria Math" w:hAnsi="Cambria Math" w:cs="Cambria Math"/>
                  <w:i/>
                  <w:iCs/>
                  <w:color w:val="000000" w:themeColor="text1"/>
                  <w:kern w:val="24"/>
                  <w:sz w:val="24"/>
                  <w:szCs w:val="24"/>
                </w:rPr>
              </m:ctrlPr>
            </m:sSupPr>
            <m:e>
              <m:r>
                <w:rPr>
                  <w:rFonts w:ascii="Cambria Math" w:hAnsi="Cambria Math" w:cs="Cambria Math"/>
                  <w:color w:val="000000" w:themeColor="text1"/>
                  <w:kern w:val="24"/>
                  <w:sz w:val="24"/>
                  <w:szCs w:val="24"/>
                </w:rPr>
                <m:t>e</m:t>
              </m:r>
            </m:e>
            <m:sup>
              <w:bookmarkStart w:id="5" w:name="_Hlk105098165"/>
              <m:d>
                <m:dPr>
                  <m:ctrlPr>
                    <w:rPr>
                      <w:rFonts w:ascii="Cambria Math" w:hAnsi="Cambria Math" w:cs="Cambria Math"/>
                      <w:i/>
                      <w:color w:val="000000" w:themeColor="text1"/>
                      <w:kern w:val="24"/>
                      <w:sz w:val="24"/>
                      <w:szCs w:val="24"/>
                    </w:rPr>
                  </m:ctrlPr>
                </m:dPr>
                <m:e>
                  <m:f>
                    <m:fPr>
                      <m:ctrlPr>
                        <w:rPr>
                          <w:rFonts w:ascii="Cambria Math" w:hAnsi="Cambria Math" w:cs="Cambria Math"/>
                          <w:i/>
                          <w:iCs/>
                          <w:color w:val="000000" w:themeColor="text1"/>
                          <w:kern w:val="24"/>
                          <w:sz w:val="24"/>
                          <w:szCs w:val="24"/>
                        </w:rPr>
                      </m:ctrlPr>
                    </m:fPr>
                    <m:num>
                      <m:rad>
                        <m:radPr>
                          <m:degHide m:val="1"/>
                          <m:ctrlPr>
                            <w:rPr>
                              <w:rFonts w:ascii="Cambria Math" w:hAnsi="Cambria Math" w:cs="Cambria Math"/>
                              <w:i/>
                              <w:iCs/>
                              <w:color w:val="000000" w:themeColor="text1"/>
                              <w:kern w:val="24"/>
                              <w:sz w:val="24"/>
                              <w:szCs w:val="24"/>
                            </w:rPr>
                          </m:ctrlPr>
                        </m:radPr>
                        <m:deg/>
                        <m:e>
                          <m:r>
                            <w:rPr>
                              <w:rFonts w:ascii="Cambria Math" w:hAnsi="Cambria Math" w:cs="Cambria Math"/>
                              <w:color w:val="000000" w:themeColor="text1"/>
                              <w:kern w:val="24"/>
                              <w:sz w:val="24"/>
                              <w:szCs w:val="24"/>
                            </w:rPr>
                            <m:t>σ</m:t>
                          </m:r>
                        </m:e>
                      </m:rad>
                    </m:num>
                    <m:den>
                      <m:r>
                        <w:rPr>
                          <w:rFonts w:ascii="Cambria Math" w:hAnsi="Cambria Math" w:cs="Cambria Math"/>
                          <w:color w:val="000000" w:themeColor="text1"/>
                          <w:kern w:val="24"/>
                          <w:sz w:val="24"/>
                          <w:szCs w:val="24"/>
                        </w:rPr>
                        <m:t>2dl</m:t>
                      </m:r>
                      <m:r>
                        <w:rPr>
                          <w:rFonts w:ascii="Cambria Math" w:hAnsi="等线" w:cs="Cambria Math" w:hint="eastAsia"/>
                          <w:color w:val="000000" w:themeColor="text1"/>
                          <w:kern w:val="24"/>
                          <w:sz w:val="24"/>
                          <w:szCs w:val="24"/>
                        </w:rPr>
                        <m:t>×</m:t>
                      </m:r>
                      <m:r>
                        <w:rPr>
                          <w:rFonts w:ascii="Cambria Math" w:hAnsi="Cambria Math" w:cs="Cambria Math"/>
                          <w:color w:val="000000" w:themeColor="text1"/>
                          <w:kern w:val="24"/>
                          <w:sz w:val="24"/>
                          <w:szCs w:val="24"/>
                        </w:rPr>
                        <m:t>f</m:t>
                      </m:r>
                      <m:r>
                        <w:rPr>
                          <w:rFonts w:ascii="Cambria Math" w:hAnsi="等线" w:cs="Cambria Math" w:hint="eastAsia"/>
                          <w:color w:val="000000" w:themeColor="text1"/>
                          <w:kern w:val="24"/>
                          <w:sz w:val="24"/>
                          <w:szCs w:val="24"/>
                        </w:rPr>
                        <m:t>×</m:t>
                      </m:r>
                      <m:func>
                        <m:funcPr>
                          <m:ctrlPr>
                            <w:rPr>
                              <w:rFonts w:ascii="Cambria Math" w:hAnsi="Cambria Math" w:cs="Cambria Math"/>
                              <w:color w:val="000000" w:themeColor="text1"/>
                              <w:kern w:val="24"/>
                              <w:sz w:val="24"/>
                              <w:szCs w:val="24"/>
                            </w:rPr>
                          </m:ctrlPr>
                        </m:funcPr>
                        <m:fName>
                          <m:r>
                            <m:rPr>
                              <m:sty m:val="p"/>
                            </m:rPr>
                            <w:rPr>
                              <w:rFonts w:ascii="Cambria Math" w:hAnsi="Cambria Math" w:cs="Cambria Math"/>
                              <w:color w:val="000000" w:themeColor="text1"/>
                              <w:kern w:val="24"/>
                              <w:sz w:val="24"/>
                              <w:szCs w:val="24"/>
                            </w:rPr>
                            <m:t>sin</m:t>
                          </m:r>
                          <m:ctrlPr>
                            <w:rPr>
                              <w:rFonts w:ascii="Cambria Math" w:hAnsi="等线" w:cs="Cambria Math"/>
                              <w:i/>
                              <w:color w:val="000000" w:themeColor="text1"/>
                              <w:kern w:val="24"/>
                              <w:sz w:val="24"/>
                              <w:szCs w:val="24"/>
                            </w:rPr>
                          </m:ctrlPr>
                        </m:fName>
                        <m:e>
                          <m:d>
                            <m:dPr>
                              <m:ctrlPr>
                                <w:rPr>
                                  <w:rFonts w:ascii="Cambria Math" w:hAnsi="Cambria Math" w:cs="Cambria Math"/>
                                  <w:i/>
                                  <w:color w:val="000000" w:themeColor="text1"/>
                                  <w:kern w:val="24"/>
                                  <w:sz w:val="24"/>
                                  <w:szCs w:val="24"/>
                                </w:rPr>
                              </m:ctrlPr>
                            </m:dPr>
                            <m:e>
                              <m:r>
                                <w:rPr>
                                  <w:rFonts w:ascii="Cambria Math" w:hAnsi="Cambria Math" w:cs="Cambria Math"/>
                                  <w:color w:val="000000" w:themeColor="text1"/>
                                  <w:kern w:val="24"/>
                                  <w:sz w:val="24"/>
                                  <w:szCs w:val="24"/>
                                </w:rPr>
                                <m:t>lat</m:t>
                              </m:r>
                            </m:e>
                          </m:d>
                        </m:e>
                      </m:func>
                    </m:den>
                  </m:f>
                </m:e>
              </m:d>
              <w:bookmarkEnd w:id="5"/>
              <m:r>
                <w:rPr>
                  <w:rFonts w:ascii="Cambria Math" w:hAnsi="Cambria Math" w:cs="Cambria Math"/>
                  <w:color w:val="000000" w:themeColor="text1"/>
                  <w:kern w:val="24"/>
                  <w:sz w:val="24"/>
                  <w:szCs w:val="24"/>
                </w:rPr>
                <m:t>×</m:t>
              </m:r>
              <m:d>
                <m:dPr>
                  <m:ctrlPr>
                    <w:rPr>
                      <w:rFonts w:ascii="Cambria Math" w:hAnsi="Cambria Math" w:cs="Cambria Math"/>
                      <w:i/>
                      <w:color w:val="000000" w:themeColor="text1"/>
                      <w:kern w:val="24"/>
                      <w:sz w:val="24"/>
                      <w:szCs w:val="24"/>
                    </w:rPr>
                  </m:ctrlPr>
                </m:dPr>
                <m:e>
                  <m:r>
                    <w:rPr>
                      <w:rFonts w:ascii="Cambria Math" w:hAnsi="Cambria Math" w:cs="Cambria Math"/>
                      <w:color w:val="000000" w:themeColor="text1"/>
                      <w:kern w:val="24"/>
                      <w:sz w:val="24"/>
                      <w:szCs w:val="24"/>
                    </w:rPr>
                    <m:t>-∆p</m:t>
                  </m:r>
                </m:e>
              </m:d>
            </m:sup>
          </m:sSup>
          <m:r>
            <w:rPr>
              <w:rFonts w:ascii="Cambria Math" w:eastAsia="宋体" w:hAnsi="Cambria Math" w:cs="Times New Roman"/>
              <w:sz w:val="24"/>
              <w:szCs w:val="24"/>
            </w:rPr>
            <m:t xml:space="preserve">,           </m:t>
          </m:r>
          <m:r>
            <w:rPr>
              <w:rFonts w:ascii="Cambria Math" w:eastAsia="宋体" w:hAnsi="Cambria Math" w:cs="Times New Roman"/>
              <w:color w:val="000000" w:themeColor="text1"/>
              <w:kern w:val="24"/>
              <w:sz w:val="24"/>
              <w:szCs w:val="24"/>
            </w:rPr>
            <m:t>(8)</m:t>
          </m:r>
        </m:oMath>
      </m:oMathPara>
    </w:p>
    <w:p w14:paraId="40FB2164" w14:textId="77777777" w:rsidR="00E76A53" w:rsidRDefault="00000000">
      <w:pPr>
        <w:spacing w:beforeLines="100" w:before="312" w:afterLines="100" w:after="312"/>
        <w:rPr>
          <w:rFonts w:ascii="Times New Roman" w:eastAsia="宋体" w:hAnsi="Times New Roman" w:cs="Times New Roman"/>
          <w:sz w:val="24"/>
          <w:szCs w:val="24"/>
          <w:vertAlign w:val="superscript"/>
        </w:rPr>
      </w:pPr>
      <w:r>
        <w:rPr>
          <w:rFonts w:ascii="Times New Roman" w:eastAsia="宋体" w:hAnsi="Times New Roman" w:cs="Times New Roman"/>
          <w:sz w:val="24"/>
          <w:szCs w:val="24"/>
        </w:rPr>
        <w:t xml:space="preserve">where </w:t>
      </w:r>
      <m:oMath>
        <m:r>
          <w:rPr>
            <w:rFonts w:ascii="Cambria Math" w:hAnsi="Cambria Math" w:cs="Cambria Math"/>
            <w:color w:val="000000" w:themeColor="text1"/>
            <w:kern w:val="24"/>
            <w:sz w:val="24"/>
            <w:szCs w:val="24"/>
          </w:rPr>
          <m:t>∆p</m:t>
        </m:r>
      </m:oMath>
      <w:r>
        <w:rPr>
          <w:rFonts w:ascii="Times New Roman" w:eastAsia="宋体" w:hAnsi="Times New Roman" w:cs="Times New Roman"/>
          <w:color w:val="000000" w:themeColor="text1"/>
          <w:kern w:val="24"/>
          <w:sz w:val="24"/>
          <w:szCs w:val="24"/>
        </w:rPr>
        <w:t xml:space="preserve"> indicates the difference between the surface pressure and the pressure on a certain model layer, </w:t>
      </w:r>
      <m:oMath>
        <m:r>
          <w:rPr>
            <w:rFonts w:ascii="Cambria Math" w:hAnsi="Cambria Math" w:cs="Cambria Math"/>
            <w:color w:val="000000" w:themeColor="text1"/>
            <w:kern w:val="24"/>
            <w:sz w:val="24"/>
            <w:szCs w:val="24"/>
          </w:rPr>
          <m:t>dl</m:t>
        </m:r>
      </m:oMath>
      <w:r>
        <w:rPr>
          <w:rFonts w:ascii="Times New Roman" w:eastAsia="宋体" w:hAnsi="Times New Roman" w:cs="Times New Roman"/>
          <w:color w:val="000000" w:themeColor="text1"/>
          <w:kern w:val="24"/>
          <w:sz w:val="24"/>
          <w:szCs w:val="24"/>
        </w:rPr>
        <w:t xml:space="preserve"> is </w:t>
      </w:r>
      <w:r>
        <w:rPr>
          <w:rFonts w:ascii="Times New Roman" w:eastAsia="宋体" w:hAnsi="Times New Roman" w:cs="Times New Roman"/>
          <w:kern w:val="24"/>
          <w:sz w:val="24"/>
          <w:szCs w:val="24"/>
        </w:rPr>
        <w:t>model horizontal resolution</w:t>
      </w:r>
      <w:r>
        <w:rPr>
          <w:rFonts w:ascii="Times New Roman" w:eastAsia="宋体" w:hAnsi="Times New Roman" w:cs="Times New Roman"/>
          <w:sz w:val="24"/>
          <w:szCs w:val="24"/>
        </w:rPr>
        <w:t xml:space="preserve">. </w:t>
      </w:r>
      <m:oMath>
        <m:f>
          <m:fPr>
            <m:ctrlPr>
              <w:rPr>
                <w:rFonts w:ascii="Cambria Math" w:hAnsi="Cambria Math" w:cs="Cambria Math"/>
                <w:i/>
                <w:iCs/>
                <w:color w:val="000000" w:themeColor="text1"/>
                <w:kern w:val="24"/>
                <w:sz w:val="24"/>
                <w:szCs w:val="24"/>
              </w:rPr>
            </m:ctrlPr>
          </m:fPr>
          <m:num>
            <m:rad>
              <m:radPr>
                <m:degHide m:val="1"/>
                <m:ctrlPr>
                  <w:rPr>
                    <w:rFonts w:ascii="Cambria Math" w:hAnsi="Cambria Math" w:cs="Cambria Math"/>
                    <w:i/>
                    <w:iCs/>
                    <w:color w:val="000000" w:themeColor="text1"/>
                    <w:kern w:val="24"/>
                    <w:sz w:val="24"/>
                    <w:szCs w:val="24"/>
                  </w:rPr>
                </m:ctrlPr>
              </m:radPr>
              <m:deg/>
              <m:e>
                <m:r>
                  <w:rPr>
                    <w:rFonts w:ascii="Cambria Math" w:hAnsi="Cambria Math" w:cs="Cambria Math"/>
                    <w:color w:val="000000" w:themeColor="text1"/>
                    <w:kern w:val="24"/>
                    <w:sz w:val="24"/>
                    <w:szCs w:val="24"/>
                  </w:rPr>
                  <m:t>σ</m:t>
                </m:r>
              </m:e>
            </m:rad>
          </m:num>
          <m:den>
            <m:r>
              <w:rPr>
                <w:rFonts w:ascii="Cambria Math" w:hAnsi="Cambria Math" w:cs="Cambria Math"/>
                <w:color w:val="000000" w:themeColor="text1"/>
                <w:kern w:val="24"/>
                <w:sz w:val="24"/>
                <w:szCs w:val="24"/>
              </w:rPr>
              <m:t>2dl</m:t>
            </m:r>
            <m:r>
              <w:rPr>
                <w:rFonts w:ascii="Cambria Math" w:hAnsi="等线" w:cs="Cambria Math" w:hint="eastAsia"/>
                <w:color w:val="000000" w:themeColor="text1"/>
                <w:kern w:val="24"/>
                <w:sz w:val="24"/>
                <w:szCs w:val="24"/>
              </w:rPr>
              <m:t>×</m:t>
            </m:r>
            <m:r>
              <w:rPr>
                <w:rFonts w:ascii="Cambria Math" w:hAnsi="Cambria Math" w:cs="Cambria Math"/>
                <w:color w:val="000000" w:themeColor="text1"/>
                <w:kern w:val="24"/>
                <w:sz w:val="24"/>
                <w:szCs w:val="24"/>
              </w:rPr>
              <m:t>f</m:t>
            </m:r>
            <m:r>
              <w:rPr>
                <w:rFonts w:ascii="Cambria Math" w:hAnsi="等线" w:cs="Cambria Math" w:hint="eastAsia"/>
                <w:color w:val="000000" w:themeColor="text1"/>
                <w:kern w:val="24"/>
                <w:sz w:val="24"/>
                <w:szCs w:val="24"/>
              </w:rPr>
              <m:t>×</m:t>
            </m:r>
            <m:r>
              <w:rPr>
                <w:rFonts w:ascii="Cambria Math" w:hAnsi="Cambria Math" w:cs="Cambria Math"/>
                <w:color w:val="000000" w:themeColor="text1"/>
                <w:kern w:val="24"/>
                <w:sz w:val="24"/>
                <w:szCs w:val="24"/>
              </w:rPr>
              <m:t>sin(lat)</m:t>
            </m:r>
          </m:den>
        </m:f>
      </m:oMath>
      <w:r>
        <w:rPr>
          <w:rFonts w:ascii="Times New Roman" w:eastAsia="宋体" w:hAnsi="Times New Roman" w:cs="Times New Roman" w:hint="eastAsia"/>
          <w:color w:val="000000" w:themeColor="text1"/>
          <w:kern w:val="24"/>
          <w:sz w:val="24"/>
          <w:szCs w:val="24"/>
        </w:rPr>
        <w:t xml:space="preserve"> </w:t>
      </w:r>
      <w:r>
        <w:rPr>
          <w:rFonts w:ascii="Times New Roman" w:eastAsia="宋体" w:hAnsi="Times New Roman" w:cs="Times New Roman"/>
          <w:color w:val="000000" w:themeColor="text1"/>
          <w:kern w:val="24"/>
          <w:sz w:val="24"/>
          <w:szCs w:val="24"/>
        </w:rPr>
        <w:t>is static variable</w:t>
      </w:r>
      <w:r>
        <w:rPr>
          <w:rFonts w:ascii="Times New Roman" w:eastAsia="宋体" w:hAnsi="Times New Roman" w:cs="Times New Roman"/>
          <w:sz w:val="24"/>
          <w:szCs w:val="24"/>
        </w:rPr>
        <w:t xml:space="preserve"> which can be preprocessed at each integration step without calculation. After simplification, the divergence of </w:t>
      </w:r>
      <m:oMath>
        <m:r>
          <w:rPr>
            <w:rFonts w:ascii="Cambria Math" w:hAnsi="Cambria Math" w:cs="Cambria Math"/>
            <w:color w:val="000000" w:themeColor="text1"/>
            <w:kern w:val="24"/>
            <w:sz w:val="24"/>
            <w:szCs w:val="24"/>
          </w:rPr>
          <m:t>γ</m:t>
        </m:r>
      </m:oMath>
      <w:r>
        <w:rPr>
          <w:rFonts w:ascii="Times New Roman" w:eastAsia="宋体" w:hAnsi="Times New Roman" w:cs="Times New Roman"/>
          <w:sz w:val="24"/>
          <w:szCs w:val="24"/>
        </w:rPr>
        <w:t xml:space="preserve"> between Eq (7) and Eq (8) is only 10</w:t>
      </w:r>
      <w:r>
        <w:rPr>
          <w:rFonts w:ascii="Times New Roman" w:eastAsia="宋体" w:hAnsi="Times New Roman" w:cs="Times New Roman"/>
          <w:sz w:val="24"/>
          <w:szCs w:val="24"/>
          <w:vertAlign w:val="superscript"/>
        </w:rPr>
        <w:t>-10</w:t>
      </w:r>
      <w:r>
        <w:rPr>
          <w:rFonts w:ascii="Times New Roman" w:eastAsia="宋体" w:hAnsi="Times New Roman" w:cs="Times New Roman"/>
          <w:sz w:val="24"/>
          <w:szCs w:val="24"/>
        </w:rPr>
        <w:t xml:space="preserve">. Thus, the simplified Eq. (8) can be applied in numerical models to calculate the multi-layer </w:t>
      </w:r>
      <w:r>
        <w:rPr>
          <w:rFonts w:ascii="Times New Roman" w:eastAsia="宋体" w:hAnsi="Times New Roman" w:cs="Times New Roman"/>
          <w:kern w:val="24"/>
          <w:sz w:val="24"/>
          <w:szCs w:val="24"/>
        </w:rPr>
        <w:t>topographic</w:t>
      </w:r>
      <w:r>
        <w:rPr>
          <w:rFonts w:ascii="Times New Roman" w:eastAsia="宋体" w:hAnsi="Times New Roman" w:cs="Times New Roman"/>
          <w:sz w:val="24"/>
          <w:szCs w:val="24"/>
        </w:rPr>
        <w:t xml:space="preserve"> vertical velocity.</w:t>
      </w:r>
    </w:p>
    <w:p w14:paraId="7D3CC7D9" w14:textId="303DE711" w:rsidR="00E76A53" w:rsidRDefault="00515E08">
      <w:pPr>
        <w:spacing w:beforeLines="100" w:before="312" w:afterLines="100" w:after="312"/>
        <w:rPr>
          <w:rFonts w:ascii="Times New Roman" w:eastAsia="宋体" w:hAnsi="Times New Roman" w:cs="Times New Roman"/>
          <w:sz w:val="24"/>
          <w:szCs w:val="24"/>
        </w:rPr>
      </w:pPr>
      <w:r w:rsidRPr="00515E08">
        <w:rPr>
          <w:rFonts w:ascii="Times New Roman" w:eastAsia="宋体" w:hAnsi="Times New Roman" w:cs="Times New Roman"/>
          <w:sz w:val="24"/>
          <w:szCs w:val="24"/>
        </w:rPr>
        <w:t>Figure 1b shows the linear variation of the unit topographic vertical velocity intensity with altitude at the given model resolution. The results indicated that with the increase of model resolution, the topographic vertical velocity decreases rapidly with altitude. When =10km, the topographical vertical velocity is negligible 10hPa above the surface which is lower than the next layer of the lowest model vertical layer in CAM5-SE, so a single layer parameterization scheme is enough. For L=150km, the influence reaches up to 150hPa above the surface, so multi-layer topographic vertical velocity parameterization scheme is necessary. It can provide some new information for numerical simulations. Notably, preprocessing the sub-grid topographic data before the model integration may increase a small amount of computation compared with CAM5-SE.</w:t>
      </w:r>
      <w:r>
        <w:rPr>
          <w:rFonts w:ascii="Times New Roman" w:eastAsia="宋体" w:hAnsi="Times New Roman" w:cs="Times New Roman"/>
          <w:sz w:val="24"/>
          <w:szCs w:val="24"/>
        </w:rPr>
        <w:t xml:space="preserve"> </w:t>
      </w:r>
    </w:p>
    <w:p w14:paraId="1FCBDDD3"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1]</w:t>
      </w:r>
    </w:p>
    <w:p w14:paraId="6B09A338"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The trigonometric function of slope and aspect calculated by Eq. (5) is parameterized to the model dynamic processes to evaluate the topographic vertical motion. A realistic statistical method based on trigonometric function transformation to calculate sub-grid slope and aspect for describing the orographic characteristics of complex areas over the globe has been proposed and tested in Wang et al. (2022). Since tan(slope)×cos(aspect) (</w:t>
      </w:r>
      <m:oMath>
        <m:r>
          <w:rPr>
            <w:rFonts w:ascii="Cambria Math" w:eastAsia="宋体" w:hAnsi="Cambria Math" w:cs="Times New Roman"/>
            <w:kern w:val="0"/>
            <w:sz w:val="24"/>
            <w:szCs w:val="24"/>
          </w:rPr>
          <m:t>tan</m:t>
        </m:r>
        <m:sSub>
          <m:sSubPr>
            <m:ctrlPr>
              <w:rPr>
                <w:rFonts w:ascii="Cambria Math" w:eastAsia="宋体" w:hAnsi="Cambria Math" w:cs="Times New Roman"/>
                <w:i/>
                <w:kern w:val="0"/>
                <w:sz w:val="24"/>
                <w:szCs w:val="24"/>
              </w:rPr>
            </m:ctrlPr>
          </m:sSubPr>
          <m:e>
            <m:r>
              <w:rPr>
                <w:rFonts w:ascii="Cambria Math" w:eastAsia="宋体" w:hAnsi="Cambria Math" w:cs="Times New Roman"/>
                <w:kern w:val="0"/>
                <w:sz w:val="24"/>
                <w:szCs w:val="24"/>
              </w:rPr>
              <m:t>θ</m:t>
            </m:r>
          </m:e>
          <m:sub>
            <m:r>
              <w:rPr>
                <w:rFonts w:ascii="Cambria Math" w:eastAsia="宋体" w:hAnsi="Cambria Math" w:cs="Times New Roman"/>
                <w:kern w:val="0"/>
                <w:sz w:val="24"/>
                <w:szCs w:val="24"/>
              </w:rPr>
              <m:t>N</m:t>
            </m:r>
          </m:sub>
        </m:sSub>
        <m:r>
          <w:rPr>
            <w:rFonts w:ascii="Cambria Math" w:eastAsia="宋体" w:hAnsi="Cambria Math" w:cs="Times New Roman"/>
            <w:kern w:val="0"/>
            <w:sz w:val="24"/>
            <w:szCs w:val="24"/>
          </w:rPr>
          <m:t>cos</m:t>
        </m:r>
        <m:sSub>
          <m:sSubPr>
            <m:ctrlPr>
              <w:rPr>
                <w:rFonts w:ascii="Cambria Math" w:eastAsia="宋体" w:hAnsi="Cambria Math" w:cs="Times New Roman"/>
                <w:i/>
                <w:kern w:val="0"/>
                <w:sz w:val="24"/>
                <w:szCs w:val="24"/>
              </w:rPr>
            </m:ctrlPr>
          </m:sSubPr>
          <m:e>
            <m:r>
              <w:rPr>
                <w:rFonts w:ascii="Cambria Math" w:eastAsia="宋体" w:hAnsi="Cambria Math" w:cs="Times New Roman"/>
                <w:kern w:val="0"/>
                <w:sz w:val="24"/>
                <w:szCs w:val="24"/>
              </w:rPr>
              <m:t>φ</m:t>
            </m:r>
          </m:e>
          <m:sub>
            <m:r>
              <w:rPr>
                <w:rFonts w:ascii="Cambria Math" w:eastAsia="宋体" w:hAnsi="Cambria Math" w:cs="Times New Roman"/>
                <w:kern w:val="0"/>
                <w:sz w:val="24"/>
                <w:szCs w:val="24"/>
              </w:rPr>
              <m:t>N</m:t>
            </m:r>
          </m:sub>
        </m:sSub>
      </m:oMath>
      <w:r>
        <w:rPr>
          <w:rFonts w:ascii="Times New Roman" w:eastAsia="宋体" w:hAnsi="Times New Roman" w:cs="Times New Roman" w:hint="eastAsia"/>
          <w:kern w:val="0"/>
          <w:sz w:val="24"/>
          <w:szCs w:val="24"/>
        </w:rPr>
        <w:t xml:space="preserve"> </w:t>
      </w:r>
      <w:r>
        <w:rPr>
          <w:rFonts w:ascii="Times New Roman" w:eastAsia="宋体" w:hAnsi="Times New Roman" w:cs="Times New Roman"/>
          <w:kern w:val="0"/>
          <w:sz w:val="24"/>
          <w:szCs w:val="24"/>
        </w:rPr>
        <w:t>in Eq. (5)</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a</w:t>
      </w:r>
      <w:r>
        <w:rPr>
          <w:rFonts w:ascii="Times New Roman" w:eastAsia="宋体" w:hAnsi="Times New Roman" w:cs="Times New Roman"/>
          <w:sz w:val="24"/>
          <w:szCs w:val="24"/>
        </w:rPr>
        <w:t>nd tan(slope)×sin(aspect) (</w:t>
      </w:r>
      <m:oMath>
        <m:r>
          <w:rPr>
            <w:rFonts w:ascii="Cambria Math" w:eastAsia="宋体" w:hAnsi="Cambria Math" w:cs="Times New Roman"/>
            <w:kern w:val="0"/>
            <w:sz w:val="24"/>
            <w:szCs w:val="24"/>
          </w:rPr>
          <m:t>tan</m:t>
        </m:r>
        <m:sSub>
          <m:sSubPr>
            <m:ctrlPr>
              <w:rPr>
                <w:rFonts w:ascii="Cambria Math" w:eastAsia="宋体" w:hAnsi="Cambria Math" w:cs="Times New Roman"/>
                <w:i/>
                <w:kern w:val="0"/>
                <w:sz w:val="24"/>
                <w:szCs w:val="24"/>
              </w:rPr>
            </m:ctrlPr>
          </m:sSubPr>
          <m:e>
            <m:r>
              <w:rPr>
                <w:rFonts w:ascii="Cambria Math" w:eastAsia="宋体" w:hAnsi="Cambria Math" w:cs="Times New Roman"/>
                <w:kern w:val="0"/>
                <w:sz w:val="24"/>
                <w:szCs w:val="24"/>
              </w:rPr>
              <m:t>θ</m:t>
            </m:r>
          </m:e>
          <m:sub>
            <m:r>
              <w:rPr>
                <w:rFonts w:ascii="Cambria Math" w:eastAsia="宋体" w:hAnsi="Cambria Math" w:cs="Times New Roman"/>
                <w:kern w:val="0"/>
                <w:sz w:val="24"/>
                <w:szCs w:val="24"/>
              </w:rPr>
              <m:t>N</m:t>
            </m:r>
          </m:sub>
        </m:sSub>
        <m:r>
          <w:rPr>
            <w:rFonts w:ascii="Cambria Math" w:eastAsia="宋体" w:hAnsi="Cambria Math" w:cs="Times New Roman"/>
            <w:kern w:val="0"/>
            <w:sz w:val="24"/>
            <w:szCs w:val="24"/>
          </w:rPr>
          <m:t>sin</m:t>
        </m:r>
        <m:sSub>
          <m:sSubPr>
            <m:ctrlPr>
              <w:rPr>
                <w:rFonts w:ascii="Cambria Math" w:eastAsia="宋体" w:hAnsi="Cambria Math" w:cs="Times New Roman"/>
                <w:i/>
                <w:kern w:val="0"/>
                <w:sz w:val="24"/>
                <w:szCs w:val="24"/>
              </w:rPr>
            </m:ctrlPr>
          </m:sSubPr>
          <m:e>
            <m:r>
              <w:rPr>
                <w:rFonts w:ascii="Cambria Math" w:eastAsia="宋体" w:hAnsi="Cambria Math" w:cs="Times New Roman"/>
                <w:kern w:val="0"/>
                <w:sz w:val="24"/>
                <w:szCs w:val="24"/>
              </w:rPr>
              <m:t>φ</m:t>
            </m:r>
          </m:e>
          <m:sub>
            <m:r>
              <w:rPr>
                <w:rFonts w:ascii="Cambria Math" w:eastAsia="宋体" w:hAnsi="Cambria Math" w:cs="Times New Roman"/>
                <w:kern w:val="0"/>
                <w:sz w:val="24"/>
                <w:szCs w:val="24"/>
              </w:rPr>
              <m:t>N</m:t>
            </m:r>
          </m:sub>
        </m:sSub>
      </m:oMath>
      <w:r>
        <w:rPr>
          <w:rFonts w:ascii="Times New Roman" w:eastAsia="宋体" w:hAnsi="Times New Roman" w:cs="Times New Roman" w:hint="eastAsia"/>
          <w:kern w:val="0"/>
          <w:sz w:val="24"/>
          <w:szCs w:val="24"/>
        </w:rPr>
        <w:t xml:space="preserve"> </w:t>
      </w:r>
      <w:r>
        <w:rPr>
          <w:rFonts w:ascii="Times New Roman" w:eastAsia="宋体" w:hAnsi="Times New Roman" w:cs="Times New Roman"/>
          <w:kern w:val="0"/>
          <w:sz w:val="24"/>
          <w:szCs w:val="24"/>
        </w:rPr>
        <w:t>in Eq (5)</w:t>
      </w:r>
      <w:r>
        <w:rPr>
          <w:rFonts w:ascii="Times New Roman" w:eastAsia="宋体" w:hAnsi="Times New Roman" w:cs="Times New Roman"/>
          <w:sz w:val="24"/>
          <w:szCs w:val="24"/>
        </w:rPr>
        <w:t xml:space="preserve">) conform to </w:t>
      </w:r>
      <w:r>
        <w:rPr>
          <w:rFonts w:ascii="Times New Roman" w:eastAsia="宋体" w:hAnsi="Times New Roman" w:cs="Times New Roman" w:hint="eastAsia"/>
          <w:sz w:val="24"/>
          <w:szCs w:val="24"/>
        </w:rPr>
        <w:t xml:space="preserve">the </w:t>
      </w:r>
      <w:r>
        <w:rPr>
          <w:rFonts w:ascii="Times New Roman" w:eastAsia="宋体" w:hAnsi="Times New Roman" w:cs="Times New Roman"/>
          <w:sz w:val="24"/>
          <w:szCs w:val="24"/>
        </w:rPr>
        <w:t xml:space="preserve">Gaussian distribution, it is transformed into the standard normal distribution (standardized transformation) before processing. According to the probability P table, the value of </w:t>
      </w:r>
      <m:oMath>
        <m:sSub>
          <m:sSubPr>
            <m:ctrlPr>
              <w:rPr>
                <w:rFonts w:ascii="Cambria Math" w:eastAsia="宋体" w:hAnsi="Cambria Math" w:cs="Times New Roman"/>
                <w:sz w:val="24"/>
                <w:szCs w:val="24"/>
              </w:rPr>
            </m:ctrlPr>
          </m:sSubPr>
          <m:e>
            <m:r>
              <w:rPr>
                <w:rFonts w:ascii="Cambria Math" w:eastAsia="宋体" w:hAnsi="Cambria Math" w:cs="Times New Roman"/>
                <w:sz w:val="24"/>
                <w:szCs w:val="24"/>
              </w:rPr>
              <m:t>Z</m:t>
            </m:r>
          </m:e>
          <m:sub>
            <m:r>
              <w:rPr>
                <w:rFonts w:ascii="Cambria Math" w:eastAsia="宋体" w:hAnsi="Cambria Math" w:cs="Times New Roman"/>
                <w:sz w:val="24"/>
                <w:szCs w:val="24"/>
              </w:rPr>
              <m:t>p</m:t>
            </m:r>
          </m:sub>
        </m:sSub>
        <m:r>
          <w:rPr>
            <w:rFonts w:ascii="Cambria Math" w:eastAsia="宋体" w:hAnsi="Cambria Math" w:cs="Times New Roman"/>
            <w:sz w:val="24"/>
            <w:szCs w:val="24"/>
          </w:rPr>
          <m:t xml:space="preserve"> </m:t>
        </m:r>
      </m:oMath>
      <w:r>
        <w:rPr>
          <w:rFonts w:ascii="Times New Roman" w:eastAsia="宋体" w:hAnsi="Times New Roman" w:cs="Times New Roman"/>
          <w:sz w:val="24"/>
          <w:szCs w:val="24"/>
        </w:rPr>
        <w:t xml:space="preserve">corresponds to </w:t>
      </w:r>
      <w:r>
        <w:rPr>
          <w:rFonts w:ascii="Times New Roman" w:eastAsia="宋体" w:hAnsi="Times New Roman" w:cs="Times New Roman"/>
          <w:i/>
          <w:sz w:val="24"/>
          <w:szCs w:val="24"/>
        </w:rPr>
        <w:t>Z</w:t>
      </w:r>
      <w:r>
        <w:rPr>
          <w:rFonts w:ascii="Times New Roman" w:eastAsia="宋体" w:hAnsi="Times New Roman" w:cs="Times New Roman"/>
          <w:sz w:val="24"/>
          <w:szCs w:val="24"/>
        </w:rPr>
        <w:t xml:space="preserve"> during Z-Scores (</w:t>
      </w:r>
      <m:oMath>
        <m:r>
          <w:rPr>
            <w:rFonts w:ascii="Cambria Math" w:eastAsia="宋体" w:hAnsi="Cambria Math" w:cs="Times New Roman"/>
            <w:sz w:val="24"/>
            <w:szCs w:val="24"/>
          </w:rPr>
          <m:t>Z</m:t>
        </m:r>
        <m:r>
          <m:rPr>
            <m:sty m:val="p"/>
          </m:rPr>
          <w:rPr>
            <w:rFonts w:ascii="Cambria Math" w:eastAsia="宋体" w:hAnsi="Cambria Math" w:cs="Times New Roman"/>
            <w:sz w:val="24"/>
            <w:szCs w:val="24"/>
          </w:rPr>
          <m:t>=</m:t>
        </m:r>
        <m:f>
          <m:fPr>
            <m:ctrlPr>
              <w:rPr>
                <w:rFonts w:ascii="Cambria Math" w:eastAsia="宋体" w:hAnsi="Cambria Math" w:cs="Times New Roman"/>
                <w:sz w:val="24"/>
                <w:szCs w:val="24"/>
              </w:rPr>
            </m:ctrlPr>
          </m:fPr>
          <m:num>
            <m:r>
              <w:rPr>
                <w:rFonts w:ascii="Cambria Math" w:eastAsia="宋体" w:hAnsi="Cambria Math" w:cs="Times New Roman"/>
                <w:sz w:val="24"/>
                <w:szCs w:val="24"/>
              </w:rPr>
              <m:t>x-μ</m:t>
            </m:r>
          </m:num>
          <m:den>
            <m:r>
              <w:rPr>
                <w:rFonts w:ascii="Cambria Math" w:eastAsia="宋体" w:hAnsi="Cambria Math" w:cs="Times New Roman"/>
                <w:sz w:val="24"/>
                <w:szCs w:val="24"/>
              </w:rPr>
              <m:t>σ</m:t>
            </m:r>
          </m:den>
        </m:f>
      </m:oMath>
      <w:r>
        <w:rPr>
          <w:rFonts w:ascii="Times New Roman" w:eastAsia="宋体" w:hAnsi="Times New Roman" w:cs="Times New Roman"/>
          <w:sz w:val="24"/>
          <w:szCs w:val="24"/>
        </w:rPr>
        <w:t xml:space="preserve">, </w:t>
      </w:r>
      <w:r>
        <w:rPr>
          <w:rFonts w:ascii="Times New Roman" w:eastAsia="宋体" w:hAnsi="Times New Roman" w:cs="Times New Roman"/>
          <w:i/>
          <w:iCs/>
          <w:sz w:val="24"/>
          <w:szCs w:val="24"/>
        </w:rPr>
        <w:t>μ</w:t>
      </w:r>
      <w:r>
        <w:rPr>
          <w:rFonts w:ascii="Times New Roman" w:eastAsia="宋体" w:hAnsi="Times New Roman" w:cs="Times New Roman"/>
          <w:sz w:val="24"/>
          <w:szCs w:val="24"/>
        </w:rPr>
        <w:t xml:space="preserve"> denotes the average, and σ indicates the standard deviation). </w:t>
      </w:r>
      <w:bookmarkStart w:id="6" w:name="_Hlk117028157"/>
      <w:r>
        <w:rPr>
          <w:rFonts w:ascii="Times New Roman" w:eastAsia="宋体" w:hAnsi="Times New Roman" w:cs="Times New Roman"/>
          <w:sz w:val="24"/>
          <w:szCs w:val="24"/>
        </w:rPr>
        <w:t>Then a representative value of several sub-grid topography values at the model grid scale is selected and can be easily described and applied.</w:t>
      </w:r>
      <w:r>
        <w:t xml:space="preserve"> </w:t>
      </w:r>
      <w:r>
        <w:rPr>
          <w:rFonts w:ascii="Times New Roman" w:eastAsia="宋体" w:hAnsi="Times New Roman" w:cs="Times New Roman"/>
          <w:sz w:val="24"/>
          <w:szCs w:val="24"/>
        </w:rPr>
        <w:t>Before the experiments, advanced preprocessing is used to calculate the probability densities of the trigonometric function and grid weights.</w:t>
      </w:r>
    </w:p>
    <w:bookmarkEnd w:id="6"/>
    <w:p w14:paraId="6BC784B1"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b/>
          <w:sz w:val="28"/>
          <w:szCs w:val="28"/>
        </w:rPr>
        <w:t>2.3 Experimental design and data</w:t>
      </w:r>
    </w:p>
    <w:p w14:paraId="603A6320" w14:textId="17B97841" w:rsidR="00E76A53" w:rsidRDefault="00000000">
      <w:pPr>
        <w:spacing w:beforeLines="100" w:before="312" w:afterLines="100" w:after="312"/>
        <w:rPr>
          <w:rFonts w:ascii="Times New Roman" w:eastAsia="宋体" w:hAnsi="Times New Roman" w:cs="Times New Roman"/>
          <w:iCs/>
          <w:color w:val="000000" w:themeColor="text1"/>
          <w:kern w:val="24"/>
          <w:sz w:val="24"/>
          <w:szCs w:val="24"/>
        </w:rPr>
      </w:pPr>
      <w:r>
        <w:rPr>
          <w:rFonts w:ascii="Times New Roman" w:eastAsia="宋体" w:hAnsi="Times New Roman" w:cs="Times New Roman"/>
          <w:sz w:val="24"/>
          <w:szCs w:val="24"/>
        </w:rPr>
        <w:t xml:space="preserve">The CAM stand-alone model can be run using CESM scripts, which is coupled to a data ocean model, a thermodynamic sea ice model and an active land model, when one of “F” component sets of CESM is chosen. We choose the F_2000_CAM5 component set of CESM to conduct numerical experiments. The simulations are performed at the horizontal resolution of ne30 (about 1°) and 30 hybrid sigma-pressure levels, with an integration time step of 1800 s. Three 6-year simulations are forced by the prescribed current sea surface temperature and sea ice range with seasonal variations and are recycled yearly (Stone et al. 2018). The one without any modification is the control experiment (Ctl experiment). The others are the sensitivity experiments, which are the same as the control experiment but consider the lowest topographic </w:t>
      </w:r>
      <w:r>
        <w:rPr>
          <w:rFonts w:ascii="Times New Roman" w:eastAsia="宋体" w:hAnsi="Times New Roman" w:cs="Times New Roman"/>
          <w:iCs/>
          <w:color w:val="000000" w:themeColor="text1"/>
          <w:kern w:val="24"/>
          <w:sz w:val="24"/>
          <w:szCs w:val="24"/>
        </w:rPr>
        <w:t xml:space="preserve">vertical velocity (Single experiment) and the decrease of multi-layer </w:t>
      </w:r>
      <w:r>
        <w:rPr>
          <w:rFonts w:ascii="Times New Roman" w:eastAsia="宋体" w:hAnsi="Times New Roman" w:cs="Times New Roman"/>
          <w:sz w:val="24"/>
          <w:szCs w:val="24"/>
        </w:rPr>
        <w:t>topographic</w:t>
      </w:r>
      <w:r>
        <w:rPr>
          <w:rFonts w:ascii="Times New Roman" w:eastAsia="宋体" w:hAnsi="Times New Roman" w:cs="Times New Roman"/>
          <w:iCs/>
          <w:color w:val="000000" w:themeColor="text1"/>
          <w:kern w:val="24"/>
          <w:sz w:val="24"/>
          <w:szCs w:val="24"/>
        </w:rPr>
        <w:t xml:space="preserve"> vertical velocity (Multi experiment). </w:t>
      </w:r>
      <w:r w:rsidR="00515E08" w:rsidRPr="00515E08">
        <w:rPr>
          <w:rFonts w:ascii="Times New Roman" w:eastAsia="宋体" w:hAnsi="Times New Roman" w:cs="Times New Roman"/>
          <w:iCs/>
          <w:color w:val="000000" w:themeColor="text1"/>
          <w:kern w:val="24"/>
          <w:sz w:val="24"/>
          <w:szCs w:val="24"/>
        </w:rPr>
        <w:t>All the three cases are carried out for 6 years, and the first year of simulation is discarded as spin-up.</w:t>
      </w:r>
      <w:r>
        <w:rPr>
          <w:rFonts w:ascii="Times New Roman" w:eastAsia="宋体" w:hAnsi="Times New Roman" w:cs="Times New Roman"/>
          <w:iCs/>
          <w:color w:val="000000" w:themeColor="text1"/>
          <w:kern w:val="24"/>
          <w:sz w:val="24"/>
          <w:szCs w:val="24"/>
        </w:rPr>
        <w:t>.</w:t>
      </w:r>
    </w:p>
    <w:p w14:paraId="3AF9A0F6" w14:textId="2DEB487E"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The topography data used is the United States Geological Survey (USGS) DEM data with the resolution of 1km×1km. The Global Precipitation Climatology Project (GPCP) Level 3 Monthly 0.5-Degree V3.0 beta (Huffman et al. 2019) from 1987 to 2016 is used to evaluate the simulated precipitation. </w:t>
      </w:r>
      <w:r w:rsidR="00515E08" w:rsidRPr="00515E08">
        <w:rPr>
          <w:rFonts w:ascii="Times New Roman" w:eastAsia="宋体" w:hAnsi="Times New Roman" w:cs="Times New Roman"/>
          <w:sz w:val="24"/>
          <w:szCs w:val="24"/>
        </w:rPr>
        <w:t xml:space="preserve">Monthly mean atmospheric data, comprising surface pressure, specific humidity, zonal and meridional wind ((at 11 vertical levels from 1000 to 700 hPa) during 1991–2021, are from the European Centre for Medium-Range Weather Forecasts Reanalysis 5 data set (ERA5) on a 0.25° × 0.25° grid used for comparison with model results (Hans et al., 2020). And the lowest model layer wind is derived from the ERA-Interim at a 0.25° horizontal grid spacing and 60 model levels. </w:t>
      </w:r>
      <w:r>
        <w:rPr>
          <w:rFonts w:ascii="Times New Roman" w:eastAsia="宋体" w:hAnsi="Times New Roman" w:cs="Times New Roman"/>
          <w:sz w:val="24"/>
          <w:szCs w:val="24"/>
        </w:rPr>
        <w:t xml:space="preserve"> </w:t>
      </w:r>
    </w:p>
    <w:p w14:paraId="15A0CB25" w14:textId="77777777"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b/>
          <w:sz w:val="28"/>
          <w:szCs w:val="28"/>
        </w:rPr>
        <w:t xml:space="preserve">2.4 </w:t>
      </w:r>
      <w:bookmarkStart w:id="7" w:name="_Hlk117775236"/>
      <w:r>
        <w:rPr>
          <w:rFonts w:ascii="Times New Roman" w:hAnsi="Times New Roman" w:cs="Times New Roman"/>
          <w:b/>
          <w:sz w:val="28"/>
          <w:szCs w:val="28"/>
        </w:rPr>
        <w:t>Improvement or divergence ratio</w:t>
      </w:r>
    </w:p>
    <w:bookmarkEnd w:id="7"/>
    <w:p w14:paraId="549E12BF"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Divergence ratio is an indicator used to measure the difference ratio between simulation results and observation results. Improvement ratio is an indicator used to measure the improvement ratio between Single (Multi) and Ctl experiments. In mountain meteorology, the precipitation enhancement ratio (PER) is the ratio of the precipitation </w:t>
      </w:r>
      <w:r>
        <w:rPr>
          <w:rFonts w:ascii="Times New Roman" w:eastAsia="宋体" w:hAnsi="Times New Roman" w:cs="Times New Roman"/>
          <w:i/>
          <w:sz w:val="24"/>
          <w:szCs w:val="24"/>
        </w:rPr>
        <w:t>P</w:t>
      </w:r>
      <w:r>
        <w:rPr>
          <w:rFonts w:ascii="Times New Roman" w:eastAsia="宋体" w:hAnsi="Times New Roman" w:cs="Times New Roman"/>
          <w:sz w:val="24"/>
          <w:szCs w:val="24"/>
        </w:rPr>
        <w:t xml:space="preserve"> at mountain peak or some other selected points to the precipitation at the reference point or in the reference region </w:t>
      </w:r>
      <m:oMath>
        <m:sSub>
          <m:sSubPr>
            <m:ctrlPr>
              <w:rPr>
                <w:rFonts w:ascii="Cambria Math" w:eastAsia="宋体" w:hAnsi="Cambria Math" w:cs="Times New Roman"/>
                <w:sz w:val="24"/>
                <w:szCs w:val="24"/>
              </w:rPr>
            </m:ctrlPr>
          </m:sSubPr>
          <m:e>
            <m:r>
              <w:rPr>
                <w:rFonts w:ascii="Cambria Math" w:eastAsia="宋体" w:hAnsi="Cambria Math" w:cs="Times New Roman"/>
                <w:sz w:val="24"/>
                <w:szCs w:val="24"/>
              </w:rPr>
              <m:t>P</m:t>
            </m:r>
          </m:e>
          <m:sub>
            <m:r>
              <m:rPr>
                <m:sty m:val="p"/>
              </m:rPr>
              <w:rPr>
                <w:rFonts w:ascii="Cambria Math" w:eastAsia="宋体" w:hAnsi="Cambria Math" w:cs="Times New Roman"/>
                <w:sz w:val="24"/>
                <w:szCs w:val="24"/>
              </w:rPr>
              <m:t>REF</m:t>
            </m:r>
          </m:sub>
        </m:sSub>
      </m:oMath>
      <w:r>
        <w:rPr>
          <w:rFonts w:ascii="Times New Roman" w:eastAsia="宋体" w:hAnsi="Times New Roman" w:cs="Times New Roman"/>
          <w:sz w:val="24"/>
          <w:szCs w:val="24"/>
        </w:rPr>
        <w:t>, as presented in Eq. (9).</w:t>
      </w:r>
    </w:p>
    <w:p w14:paraId="4F420E17" w14:textId="77777777" w:rsidR="00E76A53" w:rsidRDefault="00000000">
      <w:pPr>
        <w:spacing w:beforeLines="100" w:before="312" w:afterLines="100" w:after="312"/>
        <w:rPr>
          <w:rFonts w:ascii="Times New Roman" w:eastAsia="宋体" w:hAnsi="Times New Roman" w:cs="Times New Roman"/>
          <w:sz w:val="24"/>
          <w:szCs w:val="24"/>
        </w:rPr>
      </w:pPr>
      <m:oMathPara>
        <m:oMath>
          <m:r>
            <m:rPr>
              <m:sty m:val="p"/>
            </m:rPr>
            <w:rPr>
              <w:rFonts w:ascii="Cambria Math" w:eastAsia="宋体" w:hAnsi="Cambria Math" w:cs="Times New Roman"/>
              <w:sz w:val="24"/>
              <w:szCs w:val="24"/>
            </w:rPr>
            <m:t>PER</m:t>
          </m:r>
          <m:r>
            <w:rPr>
              <w:rFonts w:ascii="Cambria Math" w:eastAsia="宋体" w:hAnsi="Cambria Math" w:cs="Times New Roman"/>
              <w:sz w:val="24"/>
              <w:szCs w:val="24"/>
            </w:rPr>
            <m:t>=</m:t>
          </m:r>
          <m:f>
            <m:fPr>
              <m:ctrlPr>
                <w:rPr>
                  <w:rFonts w:ascii="Cambria Math" w:eastAsia="宋体" w:hAnsi="Cambria Math" w:cs="Times New Roman"/>
                  <w:sz w:val="24"/>
                  <w:szCs w:val="24"/>
                </w:rPr>
              </m:ctrlPr>
            </m:fPr>
            <m:num>
              <m:r>
                <w:rPr>
                  <w:rFonts w:ascii="Cambria Math" w:eastAsia="宋体" w:hAnsi="Cambria Math" w:cs="Times New Roman"/>
                  <w:sz w:val="24"/>
                  <w:szCs w:val="24"/>
                </w:rPr>
                <m:t>P</m:t>
              </m:r>
            </m:num>
            <m:den>
              <m:sSub>
                <m:sSubPr>
                  <m:ctrlPr>
                    <w:rPr>
                      <w:rFonts w:ascii="Cambria Math" w:eastAsia="宋体" w:hAnsi="Cambria Math" w:cs="Times New Roman"/>
                      <w:sz w:val="24"/>
                      <w:szCs w:val="24"/>
                    </w:rPr>
                  </m:ctrlPr>
                </m:sSubPr>
                <m:e>
                  <m:r>
                    <w:rPr>
                      <w:rFonts w:ascii="Cambria Math" w:eastAsia="宋体" w:hAnsi="Cambria Math" w:cs="Times New Roman"/>
                      <w:sz w:val="24"/>
                      <w:szCs w:val="24"/>
                    </w:rPr>
                    <m:t>P</m:t>
                  </m:r>
                </m:e>
                <m:sub>
                  <m:r>
                    <m:rPr>
                      <m:sty m:val="p"/>
                    </m:rPr>
                    <w:rPr>
                      <w:rFonts w:ascii="Cambria Math" w:eastAsia="宋体" w:hAnsi="Cambria Math" w:cs="Times New Roman"/>
                      <w:sz w:val="24"/>
                      <w:szCs w:val="24"/>
                    </w:rPr>
                    <m:t>REF</m:t>
                  </m:r>
                </m:sub>
              </m:sSub>
            </m:den>
          </m:f>
          <m:r>
            <w:rPr>
              <w:rFonts w:ascii="Cambria Math" w:eastAsia="宋体" w:hAnsi="Cambria Math" w:cs="Times New Roman"/>
              <w:sz w:val="24"/>
              <w:szCs w:val="24"/>
            </w:rPr>
            <m:t xml:space="preserve">,                 </m:t>
          </m:r>
          <m:d>
            <m:dPr>
              <m:ctrlPr>
                <w:rPr>
                  <w:rFonts w:ascii="Cambria Math" w:eastAsia="宋体" w:hAnsi="Cambria Math" w:cs="Times New Roman"/>
                  <w:i/>
                  <w:sz w:val="24"/>
                  <w:szCs w:val="24"/>
                </w:rPr>
              </m:ctrlPr>
            </m:dPr>
            <m:e>
              <m:r>
                <w:rPr>
                  <w:rFonts w:ascii="Cambria Math" w:eastAsia="宋体" w:hAnsi="Cambria Math" w:cs="Times New Roman"/>
                  <w:sz w:val="24"/>
                  <w:szCs w:val="24"/>
                </w:rPr>
                <m:t>9</m:t>
              </m:r>
            </m:e>
          </m:d>
          <m:r>
            <w:rPr>
              <w:rFonts w:ascii="Cambria Math" w:eastAsia="宋体" w:hAnsi="Cambria Math" w:cs="Times New Roman"/>
              <w:sz w:val="24"/>
              <w:szCs w:val="24"/>
            </w:rPr>
            <m:t>.</m:t>
          </m:r>
        </m:oMath>
      </m:oMathPara>
    </w:p>
    <w:p w14:paraId="342366FE"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The reference region should be far enough removed that it is unaffected by the mountain, but still in the same climate zone (Smith 2019). We extend Eq. (9) to any physical quantity to obtain Eq. (10).</w:t>
      </w:r>
    </w:p>
    <w:p w14:paraId="4D32E18F" w14:textId="77777777" w:rsidR="00E76A53" w:rsidRDefault="00000000">
      <w:pPr>
        <w:spacing w:beforeLines="100" w:before="312" w:afterLines="100" w:after="312"/>
        <w:jc w:val="center"/>
        <w:rPr>
          <w:rFonts w:ascii="Times New Roman" w:eastAsia="宋体" w:hAnsi="Times New Roman" w:cs="Times New Roman"/>
          <w:sz w:val="24"/>
          <w:szCs w:val="24"/>
        </w:rPr>
      </w:pPr>
      <m:oMathPara>
        <m:oMath>
          <m:r>
            <m:rPr>
              <m:sty m:val="p"/>
            </m:rPr>
            <w:rPr>
              <w:rFonts w:ascii="Cambria Math" w:eastAsia="宋体" w:hAnsi="Cambria Math" w:cs="Times New Roman"/>
              <w:sz w:val="24"/>
              <w:szCs w:val="24"/>
            </w:rPr>
            <m:t>PER</m:t>
          </m:r>
          <m:r>
            <w:rPr>
              <w:rFonts w:ascii="Cambria Math" w:eastAsia="宋体" w:hAnsi="Cambria Math" w:cs="Times New Roman"/>
              <w:sz w:val="24"/>
              <w:szCs w:val="24"/>
            </w:rPr>
            <m:t>=</m:t>
          </m:r>
          <m:f>
            <m:fPr>
              <m:ctrlPr>
                <w:rPr>
                  <w:rFonts w:ascii="Cambria Math" w:eastAsia="宋体" w:hAnsi="Cambria Math" w:cs="Times New Roman"/>
                  <w:sz w:val="24"/>
                  <w:szCs w:val="24"/>
                </w:rPr>
              </m:ctrlPr>
            </m:fPr>
            <m:num>
              <m:r>
                <w:rPr>
                  <w:rFonts w:ascii="Cambria Math" w:eastAsia="宋体" w:hAnsi="Cambria Math" w:cs="Times New Roman"/>
                  <w:sz w:val="24"/>
                  <w:szCs w:val="24"/>
                </w:rPr>
                <m:t>∆P</m:t>
              </m:r>
            </m:num>
            <m:den>
              <m:sSub>
                <m:sSubPr>
                  <m:ctrlPr>
                    <w:rPr>
                      <w:rFonts w:ascii="Cambria Math" w:eastAsia="宋体" w:hAnsi="Cambria Math" w:cs="Times New Roman"/>
                      <w:sz w:val="24"/>
                      <w:szCs w:val="24"/>
                    </w:rPr>
                  </m:ctrlPr>
                </m:sSubPr>
                <m:e>
                  <m:r>
                    <w:rPr>
                      <w:rFonts w:ascii="Cambria Math" w:eastAsia="宋体" w:hAnsi="Cambria Math" w:cs="Times New Roman"/>
                      <w:sz w:val="24"/>
                      <w:szCs w:val="24"/>
                    </w:rPr>
                    <m:t>P</m:t>
                  </m:r>
                </m:e>
                <m:sub>
                  <m:r>
                    <m:rPr>
                      <m:sty m:val="p"/>
                    </m:rPr>
                    <w:rPr>
                      <w:rFonts w:ascii="Cambria Math" w:eastAsia="宋体" w:hAnsi="Cambria Math" w:cs="Times New Roman"/>
                      <w:sz w:val="24"/>
                      <w:szCs w:val="24"/>
                    </w:rPr>
                    <m:t>REF</m:t>
                  </m:r>
                </m:sub>
              </m:sSub>
            </m:den>
          </m:f>
          <m:r>
            <w:rPr>
              <w:rFonts w:ascii="Cambria Math" w:eastAsia="宋体" w:hAnsi="Cambria Math" w:cs="Times New Roman"/>
              <w:sz w:val="24"/>
              <w:szCs w:val="24"/>
            </w:rPr>
            <m:t>,                 (10)</m:t>
          </m:r>
        </m:oMath>
      </m:oMathPara>
    </w:p>
    <w:p w14:paraId="34040923"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where </w:t>
      </w:r>
      <m:oMath>
        <m:r>
          <w:rPr>
            <w:rFonts w:ascii="Cambria Math" w:eastAsia="宋体" w:hAnsi="Cambria Math" w:cs="Times New Roman"/>
            <w:sz w:val="24"/>
            <w:szCs w:val="24"/>
          </w:rPr>
          <m:t>∆P</m:t>
        </m:r>
      </m:oMath>
      <w:r>
        <w:rPr>
          <w:rFonts w:ascii="Times New Roman" w:eastAsia="宋体" w:hAnsi="Times New Roman" w:cs="Times New Roman"/>
          <w:sz w:val="24"/>
          <w:szCs w:val="24"/>
        </w:rPr>
        <w:t xml:space="preserve"> indicates the difference in simulations between the sensitivity and control experiments or the difference between the simulations from the control experiment and observation data. </w:t>
      </w:r>
      <m:oMath>
        <m:sSub>
          <m:sSubPr>
            <m:ctrlPr>
              <w:rPr>
                <w:rFonts w:ascii="Cambria Math" w:eastAsia="宋体" w:hAnsi="Cambria Math" w:cs="Times New Roman"/>
                <w:sz w:val="24"/>
                <w:szCs w:val="24"/>
              </w:rPr>
            </m:ctrlPr>
          </m:sSubPr>
          <m:e>
            <m:r>
              <w:rPr>
                <w:rFonts w:ascii="Cambria Math" w:eastAsia="宋体" w:hAnsi="Cambria Math" w:cs="Times New Roman"/>
                <w:sz w:val="24"/>
                <w:szCs w:val="24"/>
              </w:rPr>
              <m:t>P</m:t>
            </m:r>
          </m:e>
          <m:sub>
            <m:r>
              <m:rPr>
                <m:sty m:val="p"/>
              </m:rPr>
              <w:rPr>
                <w:rFonts w:ascii="Cambria Math" w:eastAsia="宋体" w:hAnsi="Cambria Math" w:cs="Times New Roman"/>
                <w:sz w:val="24"/>
                <w:szCs w:val="24"/>
              </w:rPr>
              <m:t>REF</m:t>
            </m:r>
          </m:sub>
        </m:sSub>
      </m:oMath>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represents simulations from the control experiment. Then, the PER reflects the improvement ratio or </w:t>
      </w:r>
      <w:bookmarkStart w:id="8" w:name="_Hlk117775202"/>
      <w:r>
        <w:rPr>
          <w:rFonts w:ascii="Times New Roman" w:eastAsia="宋体" w:hAnsi="Times New Roman" w:cs="Times New Roman"/>
          <w:sz w:val="24"/>
          <w:szCs w:val="24"/>
        </w:rPr>
        <w:t>divergence</w:t>
      </w:r>
      <w:bookmarkEnd w:id="8"/>
      <w:r>
        <w:rPr>
          <w:rFonts w:ascii="Times New Roman" w:eastAsia="宋体" w:hAnsi="Times New Roman" w:cs="Times New Roman"/>
          <w:sz w:val="24"/>
          <w:szCs w:val="24"/>
        </w:rPr>
        <w:t xml:space="preserve"> ratio. </w:t>
      </w:r>
    </w:p>
    <w:p w14:paraId="19DF438E" w14:textId="262D6F26"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hint="eastAsia"/>
          <w:b/>
          <w:sz w:val="28"/>
          <w:szCs w:val="28"/>
        </w:rPr>
        <w:t>3 R</w:t>
      </w:r>
      <w:r>
        <w:rPr>
          <w:rFonts w:ascii="Times New Roman" w:hAnsi="Times New Roman" w:cs="Times New Roman"/>
          <w:b/>
          <w:sz w:val="28"/>
          <w:szCs w:val="28"/>
        </w:rPr>
        <w:t>esults</w:t>
      </w:r>
      <w:r w:rsidR="00725676">
        <w:rPr>
          <w:rFonts w:ascii="Times New Roman" w:hAnsi="Times New Roman" w:cs="Times New Roman"/>
          <w:b/>
          <w:sz w:val="28"/>
          <w:szCs w:val="28"/>
        </w:rPr>
        <w:t xml:space="preserve"> </w:t>
      </w:r>
      <w:r w:rsidR="00725676">
        <w:rPr>
          <w:rFonts w:ascii="Times New Roman" w:hAnsi="Times New Roman" w:cs="Times New Roman" w:hint="eastAsia"/>
          <w:b/>
          <w:sz w:val="28"/>
          <w:szCs w:val="28"/>
        </w:rPr>
        <w:t>and</w:t>
      </w:r>
      <w:r w:rsidR="00725676">
        <w:rPr>
          <w:rFonts w:ascii="Times New Roman" w:hAnsi="Times New Roman" w:cs="Times New Roman"/>
          <w:b/>
          <w:sz w:val="28"/>
          <w:szCs w:val="28"/>
        </w:rPr>
        <w:t xml:space="preserve"> discussion</w:t>
      </w:r>
    </w:p>
    <w:p w14:paraId="213E3E74" w14:textId="6F0B4590" w:rsidR="0065647C" w:rsidRDefault="0065647C">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hint="eastAsia"/>
          <w:b/>
          <w:sz w:val="28"/>
          <w:szCs w:val="28"/>
        </w:rPr>
        <w:t>3</w:t>
      </w:r>
      <w:r>
        <w:rPr>
          <w:rFonts w:ascii="Times New Roman" w:hAnsi="Times New Roman" w:cs="Times New Roman"/>
          <w:b/>
          <w:sz w:val="28"/>
          <w:szCs w:val="28"/>
        </w:rPr>
        <w:t xml:space="preserve">.1 </w:t>
      </w:r>
      <w:r w:rsidRPr="0065647C">
        <w:rPr>
          <w:rFonts w:ascii="Times New Roman" w:hAnsi="Times New Roman" w:cs="Times New Roman"/>
          <w:b/>
          <w:sz w:val="28"/>
          <w:szCs w:val="28"/>
        </w:rPr>
        <w:t>Precipitation simulation over the Tibetan Plateau</w:t>
      </w:r>
    </w:p>
    <w:p w14:paraId="252F6F23"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A region of 22°N–45°Nand 70°E–105°E is selected to cover the </w:t>
      </w:r>
      <w:bookmarkStart w:id="9" w:name="_Hlk114576666"/>
      <w:r>
        <w:rPr>
          <w:rFonts w:ascii="Times New Roman" w:eastAsia="宋体" w:hAnsi="Times New Roman" w:cs="Times New Roman"/>
          <w:sz w:val="24"/>
          <w:szCs w:val="24"/>
        </w:rPr>
        <w:t>Tibetan Plateau</w:t>
      </w:r>
      <w:bookmarkEnd w:id="9"/>
      <w:r>
        <w:rPr>
          <w:rFonts w:ascii="Times New Roman" w:eastAsia="宋体" w:hAnsi="Times New Roman" w:cs="Times New Roman"/>
          <w:sz w:val="24"/>
          <w:szCs w:val="24"/>
        </w:rPr>
        <w:t>.</w:t>
      </w:r>
      <w:r>
        <w:t xml:space="preserve"> </w:t>
      </w:r>
      <w:r>
        <w:rPr>
          <w:rFonts w:ascii="Times New Roman" w:hAnsi="Times New Roman" w:cs="Times New Roman"/>
          <w:sz w:val="24"/>
          <w:szCs w:val="24"/>
        </w:rPr>
        <w:t>The</w:t>
      </w:r>
      <w:r>
        <w:rPr>
          <w:rFonts w:hint="eastAsia"/>
        </w:rPr>
        <w:t xml:space="preserve"> </w:t>
      </w:r>
      <w:r>
        <w:rPr>
          <w:rFonts w:ascii="Times New Roman" w:eastAsia="宋体" w:hAnsi="Times New Roman" w:cs="Times New Roman"/>
          <w:sz w:val="24"/>
          <w:szCs w:val="24"/>
        </w:rPr>
        <w:t>Tibetan Plateau is influenced by the plateau monsoon and has a distinct seasonal pattern of wet summer and dry winter (Su et al. 2013). The precipitation reaches its annual maximum in summer, accounting for 60%–70% of the annual accumulated precipitation (Yanai and Wu 2006; Wang et al. 2018). Therefore, summer precipitation is of great significance for this study in the region.</w:t>
      </w:r>
    </w:p>
    <w:p w14:paraId="27C74F4F"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The geographical distributions of boreal summer (June–August, JJA) mean precipitation amount from GPCP, Ctl, Single and Multi experiments are shown in Fig. 2. In summer, most precipitation over East Asia is related to the Indian summer monsoon and the East Asian summer monsoon (Tao and Chen 1987). The results indicate that for the GPCP (Fig. 2a), a large rainfall amount is concentrated in the Bay of Bengal and the southeastern periphery of the Tibetan Plateau, but for the simulations from the Ctl (Fig. 2b), Single (Fig. 2c) and Multi (Fig. 2d) experiments, little </w:t>
      </w:r>
      <w:bookmarkStart w:id="10" w:name="_Hlk116583868"/>
      <w:r>
        <w:rPr>
          <w:rFonts w:ascii="Times New Roman" w:eastAsia="宋体" w:hAnsi="Times New Roman" w:cs="Times New Roman"/>
          <w:sz w:val="24"/>
          <w:szCs w:val="24"/>
        </w:rPr>
        <w:t>rainfall</w:t>
      </w:r>
      <w:bookmarkEnd w:id="10"/>
      <w:r>
        <w:rPr>
          <w:rFonts w:ascii="Times New Roman" w:eastAsia="宋体" w:hAnsi="Times New Roman" w:cs="Times New Roman"/>
          <w:sz w:val="24"/>
          <w:szCs w:val="24"/>
        </w:rPr>
        <w:t xml:space="preserve"> is received in these areas. However, the precipitation increase appears on the southern slope of the Tibetan Plateau in model experiments, but there is little rainfall in this region in GPCP. </w:t>
      </w:r>
    </w:p>
    <w:p w14:paraId="243A4904"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2]</w:t>
      </w:r>
    </w:p>
    <w:p w14:paraId="6B0FE495"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In order to illustrate the biases of the model simulation and the improvement of the topographic vertical motion scheme, the differences in the summer precipitation between sensitivity experiments, Ctl experiment and GPCP are shown in Fig. 3. The most striking feature of the bias distribution is its close relation with topography. Positive precipitation bias controlling the Tibetan Plateau has been a common error in many climate models for a long time (Yu et al., 2015). The largest overestimations of the Ctl experiment (Fig. 3c) are found over the eastern and southern edges of the Tibetan Plateau, mostly in the regions with altitudes of 500 m and 4000 m. According to Eq. (10), the</w:t>
      </w:r>
      <w:r>
        <w:t xml:space="preserve"> </w:t>
      </w:r>
      <w:r>
        <w:rPr>
          <w:rFonts w:ascii="Times New Roman" w:eastAsia="宋体" w:hAnsi="Times New Roman" w:cs="Times New Roman"/>
          <w:sz w:val="24"/>
          <w:szCs w:val="24"/>
        </w:rPr>
        <w:t>divergence ratio is about 80%(Fig.3f). In addition, the larger underestimations of precipitation can be found in front of the southern slope of the Tibetan Plateau, mostly in the region below the altitude of 500m. The region with the largest underestimation is located in the area of 22°N, 90–98°E, with an underestimation ratio of about 100%. However, underestimation ratios in other regions are 20</w:t>
      </w:r>
      <w:r>
        <w:rPr>
          <w:rFonts w:ascii="Times New Roman" w:eastAsia="宋体" w:hAnsi="Times New Roman" w:cs="Times New Roman"/>
          <w:iCs/>
          <w:sz w:val="24"/>
          <w:szCs w:val="24"/>
        </w:rPr>
        <w:t>–</w:t>
      </w:r>
      <w:r>
        <w:rPr>
          <w:rFonts w:ascii="Times New Roman" w:eastAsia="宋体" w:hAnsi="Times New Roman" w:cs="Times New Roman"/>
          <w:sz w:val="24"/>
          <w:szCs w:val="24"/>
        </w:rPr>
        <w:t>40%. This result indicates that the southwesterly wind transports the water vapor from the ocean to the southern slope of the Tibetan Plateau. Due to the mountains, the airflow climbs upward and produces plenty of precipitation. The simulation bias is that the condensate that should have been generated in the Bay of Bengal is brought to the southern slope of the Tibetan Plateau. It is noteworthy that after considering the topographic vertical velocity, the simulation results are remarkably improved. The positive precipitation deviations in the southern and eastern edges of the Tibetan Plateau and the negative deviations in the low-altitude region of the windward slope are obviously improved. Moreover, the Multi experiment (Fig. 3b) performs better than the Single experiment (Fig. 3a), and the improvement ratios of positive deviations for the Single and Multi experiments are both 20%</w:t>
      </w:r>
      <w:r>
        <w:rPr>
          <w:rFonts w:ascii="Times New Roman" w:eastAsia="宋体" w:hAnsi="Times New Roman" w:cs="Times New Roman"/>
          <w:iCs/>
          <w:sz w:val="24"/>
          <w:szCs w:val="24"/>
        </w:rPr>
        <w:t>–</w:t>
      </w:r>
      <w:r>
        <w:rPr>
          <w:rFonts w:ascii="Times New Roman" w:eastAsia="宋体" w:hAnsi="Times New Roman" w:cs="Times New Roman"/>
          <w:sz w:val="24"/>
          <w:szCs w:val="24"/>
        </w:rPr>
        <w:t>30% (Fig. 3d and 3e). The results above indicate that the modification of topographic vertical velocity plays a</w:t>
      </w:r>
      <w:r>
        <w:t xml:space="preserve"> </w:t>
      </w:r>
      <w:bookmarkStart w:id="11" w:name="_Hlk117055426"/>
      <w:r>
        <w:rPr>
          <w:rFonts w:ascii="Times New Roman" w:eastAsia="宋体" w:hAnsi="Times New Roman" w:cs="Times New Roman"/>
          <w:sz w:val="24"/>
          <w:szCs w:val="24"/>
        </w:rPr>
        <w:t>vital</w:t>
      </w:r>
      <w:bookmarkEnd w:id="11"/>
      <w:r>
        <w:rPr>
          <w:rFonts w:ascii="Times New Roman" w:eastAsia="宋体" w:hAnsi="Times New Roman" w:cs="Times New Roman"/>
          <w:sz w:val="24"/>
          <w:szCs w:val="24"/>
        </w:rPr>
        <w:t xml:space="preserve"> role in topographic precipitation simulations.</w:t>
      </w:r>
    </w:p>
    <w:p w14:paraId="5BC128EE"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3]</w:t>
      </w:r>
    </w:p>
    <w:p w14:paraId="1C4C1598"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More details of model performance and precipitation variations are revealed by the meridional and latitudinal </w:t>
      </w:r>
      <w:bookmarkStart w:id="12" w:name="_Hlk116587675"/>
      <w:r>
        <w:rPr>
          <w:rFonts w:ascii="Times New Roman" w:eastAsia="宋体" w:hAnsi="Times New Roman" w:cs="Times New Roman"/>
          <w:sz w:val="24"/>
          <w:szCs w:val="24"/>
        </w:rPr>
        <w:t>average</w:t>
      </w:r>
      <w:bookmarkEnd w:id="12"/>
      <w:r>
        <w:rPr>
          <w:rFonts w:ascii="Times New Roman" w:eastAsia="宋体" w:hAnsi="Times New Roman" w:cs="Times New Roman"/>
          <w:sz w:val="24"/>
          <w:szCs w:val="24"/>
        </w:rPr>
        <w:t>s of precipitation over the Tibetan Plateau. The meridional average precipitation though the Tibetan Plateau over 87°E–95°E (Fig. 4b) suggests that the precipitation peak for the Ctl (green line) is located north of the GPCP(black line), but more precipitation than GPCP. The precipitation distribution for the Single (blue line) experiment is the same as that for the Ctl experiment. However, the peak in Multi experiment (red line) is located north of GPCP, but the rain intensity is nearly equal. This result indicates that considering the decaying of multi-layer vertical velocity can significantly reduce the overestimation of precipitation over the south foot of the Tibetan Plateau. Fig.4a shows the latitudinal average of precipitation over 22°N</w:t>
      </w:r>
      <w:r>
        <w:rPr>
          <w:rFonts w:ascii="Times New Roman" w:eastAsia="宋体" w:hAnsi="Times New Roman" w:cs="Times New Roman"/>
          <w:iCs/>
          <w:sz w:val="24"/>
          <w:szCs w:val="24"/>
        </w:rPr>
        <w:t>–</w:t>
      </w:r>
      <w:bookmarkStart w:id="13" w:name="_Hlk117058742"/>
      <w:r>
        <w:rPr>
          <w:rFonts w:ascii="Times New Roman" w:eastAsia="宋体" w:hAnsi="Times New Roman" w:cs="Times New Roman"/>
          <w:sz w:val="24"/>
          <w:szCs w:val="24"/>
        </w:rPr>
        <w:t>25°N</w:t>
      </w:r>
      <w:bookmarkEnd w:id="13"/>
      <w:r>
        <w:rPr>
          <w:rFonts w:ascii="Times New Roman" w:eastAsia="宋体" w:hAnsi="Times New Roman" w:cs="Times New Roman"/>
          <w:sz w:val="24"/>
          <w:szCs w:val="24"/>
        </w:rPr>
        <w:t>. Compared with the GPCP (black line), the Ctl experiment (green line) considerably underestimates the rainfall in front of the southern edge of the Tibetan Plateau. At the eastern peak 91°E, the difference between Ctl and GPCP is about -8.41mm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and the maximum value of Multi experiment (14.51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presents similar magnitude to that of GPCP (17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At the windward peak 26°N, the difference between Ctl and GPCP is about 12.5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and the value of Single experiment (14.1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presents similar magnitude to that of GPCP (14.22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xml:space="preserve">). </w:t>
      </w:r>
    </w:p>
    <w:p w14:paraId="2DE5279C"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4]</w:t>
      </w:r>
    </w:p>
    <w:p w14:paraId="7165A650" w14:textId="40D134FB"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In terms of the biases of model simulations,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 xml:space="preserve"> presents differences in convective precipitation, large-scale precipitation, shallow convective precipitation and ZM convective precipitation between the simulations and GPCP. The deviations in the convective precipitation present almost the same spatial pattern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 xml:space="preserve">a and </w:t>
      </w:r>
      <w:r w:rsidR="00292294">
        <w:rPr>
          <w:rFonts w:ascii="Times New Roman" w:eastAsia="宋体" w:hAnsi="Times New Roman" w:cs="Times New Roman"/>
          <w:sz w:val="24"/>
          <w:szCs w:val="24"/>
        </w:rPr>
        <w:t>5</w:t>
      </w:r>
      <w:r>
        <w:rPr>
          <w:rFonts w:ascii="Times New Roman" w:eastAsia="宋体" w:hAnsi="Times New Roman" w:cs="Times New Roman"/>
          <w:sz w:val="24"/>
          <w:szCs w:val="24"/>
        </w:rPr>
        <w:t>e) as the total precipitation (Figs. 3a</w:t>
      </w:r>
      <w:r>
        <w:rPr>
          <w:rFonts w:ascii="Times New Roman" w:eastAsia="宋体" w:hAnsi="Times New Roman" w:cs="Times New Roman"/>
          <w:iCs/>
          <w:sz w:val="24"/>
          <w:szCs w:val="24"/>
        </w:rPr>
        <w:t>–3</w:t>
      </w:r>
      <w:r>
        <w:rPr>
          <w:rFonts w:ascii="Times New Roman" w:eastAsia="宋体" w:hAnsi="Times New Roman" w:cs="Times New Roman"/>
          <w:sz w:val="24"/>
          <w:szCs w:val="24"/>
        </w:rPr>
        <w:t>b), especially along the southern and eastern edges of the Tibetan Plateau. The deviation in the spatial pattern of large-scale precipitation is slightly different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 xml:space="preserve">b and </w:t>
      </w:r>
      <w:r w:rsidR="00292294">
        <w:rPr>
          <w:rFonts w:ascii="Times New Roman" w:eastAsia="宋体" w:hAnsi="Times New Roman" w:cs="Times New Roman"/>
          <w:sz w:val="24"/>
          <w:szCs w:val="24"/>
        </w:rPr>
        <w:t>5</w:t>
      </w:r>
      <w:r>
        <w:rPr>
          <w:rFonts w:ascii="Times New Roman" w:eastAsia="宋体" w:hAnsi="Times New Roman" w:cs="Times New Roman"/>
          <w:sz w:val="24"/>
          <w:szCs w:val="24"/>
        </w:rPr>
        <w:t>f). The Single and Multi experiments only revise the positive deviations of precipitation in the middle region of the southern slope (28°N</w:t>
      </w:r>
      <w:r>
        <w:rPr>
          <w:rFonts w:ascii="Times New Roman" w:eastAsia="宋体" w:hAnsi="Times New Roman" w:cs="Times New Roman"/>
          <w:iCs/>
          <w:sz w:val="24"/>
          <w:szCs w:val="24"/>
        </w:rPr>
        <w:t>–</w:t>
      </w:r>
      <w:r>
        <w:rPr>
          <w:rFonts w:ascii="Times New Roman" w:eastAsia="宋体" w:hAnsi="Times New Roman" w:cs="Times New Roman"/>
          <w:sz w:val="24"/>
          <w:szCs w:val="24"/>
        </w:rPr>
        <w:t xml:space="preserve">32°N, 82°E </w:t>
      </w:r>
      <w:r>
        <w:rPr>
          <w:rFonts w:ascii="Times New Roman" w:eastAsia="宋体" w:hAnsi="Times New Roman" w:cs="Times New Roman"/>
          <w:iCs/>
          <w:sz w:val="24"/>
          <w:szCs w:val="24"/>
        </w:rPr>
        <w:t>–</w:t>
      </w:r>
      <w:r>
        <w:rPr>
          <w:rFonts w:ascii="Times New Roman" w:eastAsia="宋体" w:hAnsi="Times New Roman" w:cs="Times New Roman"/>
          <w:sz w:val="24"/>
          <w:szCs w:val="24"/>
        </w:rPr>
        <w:t>88°E), and the simulations of Multi experiment are slightly higher than those from the Single experiment. However, both Single and Multi experiments greatly improve the negative deviations of precipitation in front of the southern slope (22°N</w:t>
      </w:r>
      <w:r>
        <w:rPr>
          <w:rFonts w:ascii="Times New Roman" w:eastAsia="宋体" w:hAnsi="Times New Roman" w:cs="Times New Roman"/>
          <w:iCs/>
          <w:sz w:val="24"/>
          <w:szCs w:val="24"/>
        </w:rPr>
        <w:t>–</w:t>
      </w:r>
      <w:r>
        <w:rPr>
          <w:rFonts w:ascii="Times New Roman" w:eastAsia="宋体" w:hAnsi="Times New Roman" w:cs="Times New Roman"/>
          <w:sz w:val="24"/>
          <w:szCs w:val="24"/>
        </w:rPr>
        <w:t>25°N, 90°E</w:t>
      </w:r>
      <w:r>
        <w:rPr>
          <w:rFonts w:ascii="Times New Roman" w:eastAsia="宋体" w:hAnsi="Times New Roman" w:cs="Times New Roman"/>
          <w:iCs/>
          <w:sz w:val="24"/>
          <w:szCs w:val="24"/>
        </w:rPr>
        <w:t>–</w:t>
      </w:r>
      <w:r>
        <w:rPr>
          <w:rFonts w:ascii="Times New Roman" w:eastAsia="宋体" w:hAnsi="Times New Roman" w:cs="Times New Roman"/>
          <w:sz w:val="24"/>
          <w:szCs w:val="24"/>
        </w:rPr>
        <w:t>97°E). The deviations in the spatial pattern of shallow convective precipitation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c and 6g) show almost the same between Single and Ctl experiments and between Multi and Ctl experiments, and the most negative deviations are both located at altitudes above 500 m. In the regions with</w:t>
      </w:r>
      <w:r>
        <w:t xml:space="preserve"> </w:t>
      </w:r>
      <w:r>
        <w:rPr>
          <w:rFonts w:ascii="Times New Roman" w:eastAsia="宋体" w:hAnsi="Times New Roman" w:cs="Times New Roman"/>
          <w:sz w:val="24"/>
          <w:szCs w:val="24"/>
        </w:rPr>
        <w:t>altitudes below 500 m, the deviation of the ZM convective precipitation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 xml:space="preserve">d and </w:t>
      </w:r>
      <w:r w:rsidR="00292294">
        <w:rPr>
          <w:rFonts w:ascii="Times New Roman" w:eastAsia="宋体" w:hAnsi="Times New Roman" w:cs="Times New Roman"/>
          <w:sz w:val="24"/>
          <w:szCs w:val="24"/>
        </w:rPr>
        <w:t>5</w:t>
      </w:r>
      <w:r>
        <w:rPr>
          <w:rFonts w:ascii="Times New Roman" w:eastAsia="宋体" w:hAnsi="Times New Roman" w:cs="Times New Roman"/>
          <w:sz w:val="24"/>
          <w:szCs w:val="24"/>
        </w:rPr>
        <w:t>h) presents almost the same spatial pattern as that of the convective precipitation (</w:t>
      </w:r>
      <w:r w:rsidR="00292294">
        <w:rPr>
          <w:rFonts w:ascii="Times New Roman" w:eastAsia="宋体" w:hAnsi="Times New Roman" w:cs="Times New Roman"/>
          <w:sz w:val="24"/>
          <w:szCs w:val="24"/>
        </w:rPr>
        <w:t>Fig. 5</w:t>
      </w:r>
      <w:r>
        <w:rPr>
          <w:rFonts w:ascii="Times New Roman" w:eastAsia="宋体" w:hAnsi="Times New Roman" w:cs="Times New Roman"/>
          <w:sz w:val="24"/>
          <w:szCs w:val="24"/>
        </w:rPr>
        <w:t xml:space="preserve">a and </w:t>
      </w:r>
      <w:r w:rsidR="00292294">
        <w:rPr>
          <w:rFonts w:ascii="Times New Roman" w:eastAsia="宋体" w:hAnsi="Times New Roman" w:cs="Times New Roman"/>
          <w:sz w:val="24"/>
          <w:szCs w:val="24"/>
        </w:rPr>
        <w:t>5</w:t>
      </w:r>
      <w:r>
        <w:rPr>
          <w:rFonts w:ascii="Times New Roman" w:eastAsia="宋体" w:hAnsi="Times New Roman" w:cs="Times New Roman"/>
          <w:sz w:val="24"/>
          <w:szCs w:val="24"/>
        </w:rPr>
        <w:t>e).</w:t>
      </w:r>
    </w:p>
    <w:p w14:paraId="63AA4CB0" w14:textId="0C450AAD"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[Insert Figure </w:t>
      </w:r>
      <w:r w:rsidR="00292294">
        <w:rPr>
          <w:rFonts w:ascii="Times New Roman" w:eastAsia="宋体" w:hAnsi="Times New Roman" w:cs="Times New Roman"/>
          <w:sz w:val="24"/>
          <w:szCs w:val="24"/>
        </w:rPr>
        <w:t>5</w:t>
      </w:r>
      <w:r>
        <w:rPr>
          <w:rFonts w:ascii="Times New Roman" w:eastAsia="宋体" w:hAnsi="Times New Roman" w:cs="Times New Roman" w:hint="eastAsia"/>
          <w:sz w:val="24"/>
          <w:szCs w:val="24"/>
        </w:rPr>
        <w:t>]</w:t>
      </w:r>
    </w:p>
    <w:p w14:paraId="174CDF12" w14:textId="752A3782" w:rsidR="00E76A53" w:rsidRDefault="00000000">
      <w:pPr>
        <w:rPr>
          <w:rFonts w:ascii="Times New Roman" w:eastAsia="宋体" w:hAnsi="Times New Roman" w:cs="Times New Roman"/>
          <w:sz w:val="24"/>
          <w:szCs w:val="24"/>
        </w:rPr>
      </w:pPr>
      <w:r>
        <w:rPr>
          <w:rFonts w:ascii="Times New Roman" w:eastAsia="宋体" w:hAnsi="Times New Roman" w:cs="Times New Roman"/>
          <w:sz w:val="24"/>
          <w:szCs w:val="24"/>
        </w:rPr>
        <w:t>To further analyze which type of precipitation improvement is dominant, we investigate the contributions of convective precipitation, large-scale precipitation, ZM convective precipitation and shallow convective precipitation to the improvement of total precipitation simulations (</w:t>
      </w:r>
      <w:r w:rsidR="0035493F">
        <w:rPr>
          <w:rFonts w:ascii="Times New Roman" w:eastAsia="宋体" w:hAnsi="Times New Roman" w:cs="Times New Roman"/>
          <w:sz w:val="24"/>
          <w:szCs w:val="24"/>
        </w:rPr>
        <w:t>Fig. 6</w:t>
      </w:r>
      <w:r>
        <w:rPr>
          <w:rFonts w:ascii="Times New Roman" w:eastAsia="宋体" w:hAnsi="Times New Roman" w:cs="Times New Roman"/>
          <w:sz w:val="24"/>
          <w:szCs w:val="24"/>
        </w:rPr>
        <w:t>). The results suggest that for the improvement of the overestimation of total precipitation at altitudes from 500m to 4000 m (pink shaded areas in Fig. 3c), the Multi experiment performs better than the Single experiment. The total precipitation overestimation of 12.9 mm day</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 xml:space="preserve">1 </w:t>
      </w:r>
      <w:r>
        <w:rPr>
          <w:rFonts w:ascii="Times New Roman" w:eastAsia="楷体" w:hAnsi="Times New Roman" w:cs="Times New Roman"/>
          <w:sz w:val="24"/>
          <w:szCs w:val="24"/>
        </w:rPr>
        <w:t xml:space="preserve">is improved by </w:t>
      </w:r>
      <w:r>
        <w:rPr>
          <w:rFonts w:ascii="Times New Roman" w:eastAsia="宋体" w:hAnsi="Times New Roman" w:cs="Times New Roman"/>
          <w:sz w:val="24"/>
          <w:szCs w:val="24"/>
        </w:rPr>
        <w:t>6.23 mm day</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1</w:t>
      </w:r>
      <w:r>
        <w:rPr>
          <w:rFonts w:ascii="Times New Roman" w:eastAsia="宋体" w:hAnsi="Times New Roman" w:cs="Times New Roman"/>
          <w:sz w:val="24"/>
          <w:szCs w:val="24"/>
        </w:rPr>
        <w:t xml:space="preserve"> for the Multi experiment and 3.23 mm day</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1</w:t>
      </w:r>
      <w:r>
        <w:rPr>
          <w:rFonts w:ascii="Times New Roman" w:eastAsia="宋体" w:hAnsi="Times New Roman" w:cs="Times New Roman"/>
          <w:sz w:val="24"/>
          <w:szCs w:val="24"/>
        </w:rPr>
        <w:t xml:space="preserve"> for the Single experiment (</w:t>
      </w:r>
      <w:r w:rsidR="0035493F">
        <w:rPr>
          <w:rFonts w:ascii="Times New Roman" w:eastAsia="宋体" w:hAnsi="Times New Roman" w:cs="Times New Roman"/>
          <w:sz w:val="24"/>
          <w:szCs w:val="24"/>
        </w:rPr>
        <w:t>Fig. 6</w:t>
      </w:r>
      <w:r>
        <w:rPr>
          <w:rFonts w:ascii="Times New Roman" w:eastAsia="宋体" w:hAnsi="Times New Roman" w:cs="Times New Roman"/>
          <w:sz w:val="24"/>
          <w:szCs w:val="24"/>
        </w:rPr>
        <w:t xml:space="preserve">a). </w:t>
      </w:r>
      <w:r w:rsidR="00515E08" w:rsidRPr="00515E08">
        <w:rPr>
          <w:rFonts w:ascii="Times New Roman" w:eastAsia="宋体" w:hAnsi="Times New Roman" w:cs="Times New Roman"/>
          <w:sz w:val="24"/>
          <w:szCs w:val="24"/>
        </w:rPr>
        <w:t>For the Multi experiment, the improvement of convective precipitation (4.83 mm day</w:t>
      </w:r>
      <w:r w:rsidR="00515E08">
        <w:rPr>
          <w:rFonts w:ascii="Times New Roman" w:eastAsia="宋体" w:hAnsi="Times New Roman" w:cs="Times New Roman"/>
          <w:sz w:val="24"/>
          <w:szCs w:val="24"/>
          <w:vertAlign w:val="superscript"/>
        </w:rPr>
        <w:t>-1</w:t>
      </w:r>
      <w:r w:rsidR="00515E08" w:rsidRPr="00515E08">
        <w:rPr>
          <w:rFonts w:ascii="Times New Roman" w:eastAsia="宋体" w:hAnsi="Times New Roman" w:cs="Times New Roman"/>
          <w:sz w:val="24"/>
          <w:szCs w:val="24"/>
        </w:rPr>
        <w:t>) accounts for the largest part, while the large-scale precipitation is only 1.4 mm day</w:t>
      </w:r>
      <w:r w:rsidR="00515E08">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This is due to the fact that the water vapor is lifted higher by the topographic vertical motion in the Multi experiment, which is favorable for triggering convective precipitation. In terms of convective precipitation, there is little difference in the improvement between the shallow convective and ZM convective precipitation, and the improvements of precipitation simulations are both about 2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The</w:t>
      </w:r>
      <w:r>
        <w:t xml:space="preserve"> </w:t>
      </w:r>
      <w:r>
        <w:rPr>
          <w:rFonts w:ascii="Times New Roman" w:eastAsia="宋体" w:hAnsi="Times New Roman" w:cs="Times New Roman"/>
          <w:sz w:val="24"/>
          <w:szCs w:val="24"/>
        </w:rPr>
        <w:t>improvement of precipitation simulation for the Single experiment is similar to that for the Multi experiment, but the large-scale precipitation negatively contributes to the</w:t>
      </w:r>
      <w:r>
        <w:t xml:space="preserve"> </w:t>
      </w:r>
      <w:r>
        <w:rPr>
          <w:rFonts w:ascii="Times New Roman" w:eastAsia="宋体" w:hAnsi="Times New Roman" w:cs="Times New Roman"/>
          <w:sz w:val="24"/>
          <w:szCs w:val="24"/>
        </w:rPr>
        <w:t xml:space="preserve">improvement of total precipitation in the Single experiment. Below 500 m, the </w:t>
      </w:r>
      <w:bookmarkStart w:id="14" w:name="_Hlk116595185"/>
      <w:r>
        <w:rPr>
          <w:rFonts w:ascii="Times New Roman" w:eastAsia="宋体" w:hAnsi="Times New Roman" w:cs="Times New Roman"/>
          <w:sz w:val="24"/>
          <w:szCs w:val="24"/>
        </w:rPr>
        <w:t>underestimation</w:t>
      </w:r>
      <w:bookmarkEnd w:id="14"/>
      <w:r>
        <w:rPr>
          <w:rFonts w:ascii="Times New Roman" w:eastAsia="宋体" w:hAnsi="Times New Roman" w:cs="Times New Roman"/>
          <w:sz w:val="24"/>
          <w:szCs w:val="24"/>
        </w:rPr>
        <w:t xml:space="preserve"> of the total precipitation is about 3 mm day</w:t>
      </w:r>
      <w:r>
        <w:rPr>
          <w:rFonts w:ascii="Times New Roman" w:eastAsia="宋体" w:hAnsi="Times New Roman" w:cs="Times New Roman"/>
          <w:sz w:val="24"/>
          <w:szCs w:val="24"/>
          <w:vertAlign w:val="superscript"/>
        </w:rPr>
        <w:t>−</w:t>
      </w:r>
      <w:r>
        <w:rPr>
          <w:rFonts w:ascii="Times New Roman" w:eastAsia="楷体" w:hAnsi="Times New Roman" w:cs="Times New Roman"/>
          <w:sz w:val="24"/>
          <w:szCs w:val="24"/>
          <w:vertAlign w:val="superscript"/>
        </w:rPr>
        <w:t>1</w:t>
      </w:r>
      <w:r>
        <w:rPr>
          <w:rFonts w:ascii="Times New Roman" w:eastAsia="宋体" w:hAnsi="Times New Roman" w:cs="Times New Roman"/>
          <w:sz w:val="24"/>
          <w:szCs w:val="24"/>
        </w:rPr>
        <w:t>, and the Single and Multi experiments both improve ~1.2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but the composition of precipitation types</w:t>
      </w:r>
      <w:r>
        <w:t xml:space="preserve"> </w:t>
      </w:r>
      <w:r>
        <w:rPr>
          <w:rFonts w:ascii="Times New Roman" w:eastAsia="宋体" w:hAnsi="Times New Roman" w:cs="Times New Roman"/>
          <w:sz w:val="24"/>
          <w:szCs w:val="24"/>
        </w:rPr>
        <w:t>contributing to the improvement is different (</w:t>
      </w:r>
      <w:r w:rsidR="0035493F">
        <w:rPr>
          <w:rFonts w:ascii="Times New Roman" w:eastAsia="宋体" w:hAnsi="Times New Roman" w:cs="Times New Roman"/>
          <w:sz w:val="24"/>
          <w:szCs w:val="24"/>
        </w:rPr>
        <w:t>Fig. 6</w:t>
      </w:r>
      <w:r>
        <w:rPr>
          <w:rFonts w:ascii="Times New Roman" w:eastAsia="宋体" w:hAnsi="Times New Roman" w:cs="Times New Roman"/>
          <w:sz w:val="24"/>
          <w:szCs w:val="24"/>
        </w:rPr>
        <w:t xml:space="preserve">b). In the Single experiment, the decrease of biases comes mainly from the improvement of large-scale precipitation simulation, and the improvement of convective precipitation can be negligible. This is because in the Single experiment, the water vapor of the whole layer is lifted, and therefore the improvement of total precipitation simulation is dominated by the improvement of large-scale precipitation simulation. However, the contribution of convective precipitation to the improvement of total precipitation simulation is greater than that of the large-scale precipitation in the Multi experiment. Moreover, ZM convective precipitation is the dominant precipitation type in convective precipitation, and shallow convective precipitation makes a negative contribution to the improvement of total precipitation simulation. </w:t>
      </w:r>
    </w:p>
    <w:p w14:paraId="7B1674ED" w14:textId="39AA446C"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[Insert Figure </w:t>
      </w:r>
      <w:r w:rsidR="00491291">
        <w:rPr>
          <w:rFonts w:ascii="Times New Roman" w:eastAsia="宋体" w:hAnsi="Times New Roman" w:cs="Times New Roman"/>
          <w:sz w:val="24"/>
          <w:szCs w:val="24"/>
        </w:rPr>
        <w:t>6</w:t>
      </w:r>
      <w:r>
        <w:rPr>
          <w:rFonts w:ascii="Times New Roman" w:eastAsia="宋体" w:hAnsi="Times New Roman" w:cs="Times New Roman" w:hint="eastAsia"/>
          <w:sz w:val="24"/>
          <w:szCs w:val="24"/>
        </w:rPr>
        <w:t>]</w:t>
      </w:r>
    </w:p>
    <w:p w14:paraId="540FC4B7" w14:textId="2C09A904" w:rsidR="00DA7AE7" w:rsidRPr="00DA7AE7" w:rsidRDefault="00DA7AE7" w:rsidP="00DA7AE7">
      <w:pPr>
        <w:pStyle w:val="10"/>
        <w:widowControl/>
        <w:spacing w:before="156" w:after="156" w:line="480" w:lineRule="auto"/>
        <w:ind w:firstLineChars="0" w:firstLine="0"/>
        <w:jc w:val="left"/>
        <w:rPr>
          <w:rFonts w:ascii="Times New Roman" w:hAnsi="Times New Roman" w:cs="Times New Roman"/>
          <w:b/>
          <w:sz w:val="28"/>
          <w:szCs w:val="28"/>
        </w:rPr>
      </w:pPr>
      <w:r w:rsidRPr="00DA7AE7">
        <w:rPr>
          <w:rFonts w:ascii="Times New Roman" w:hAnsi="Times New Roman" w:cs="Times New Roman"/>
          <w:b/>
          <w:sz w:val="28"/>
          <w:szCs w:val="28"/>
        </w:rPr>
        <w:t>3.2 Circulation simulation over the Tibetan Plateau</w:t>
      </w:r>
    </w:p>
    <w:p w14:paraId="36A2BC69" w14:textId="64995F03" w:rsidR="0035493F" w:rsidRDefault="0035493F" w:rsidP="0035493F">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To further investigate the impact of vertical circulation on precipitation simulations, Figure 5 displays the vertical pressure velocity, meridional vertical circulation and their difference averaged over 87°E–95°E. It can be found that for the Single, Multi and Ctl experiments (Fig. </w:t>
      </w:r>
      <w:r w:rsidR="00A05EBA">
        <w:rPr>
          <w:rFonts w:ascii="Times New Roman" w:eastAsia="宋体" w:hAnsi="Times New Roman" w:cs="Times New Roman"/>
          <w:sz w:val="24"/>
          <w:szCs w:val="24"/>
        </w:rPr>
        <w:t>7</w:t>
      </w:r>
      <w:r>
        <w:rPr>
          <w:rFonts w:ascii="Times New Roman" w:eastAsia="宋体" w:hAnsi="Times New Roman" w:cs="Times New Roman"/>
          <w:sz w:val="24"/>
          <w:szCs w:val="24"/>
        </w:rPr>
        <w:t>a</w:t>
      </w:r>
      <w:r>
        <w:rPr>
          <w:rFonts w:ascii="Times New Roman" w:eastAsia="宋体" w:hAnsi="Times New Roman" w:cs="Times New Roman"/>
          <w:iCs/>
          <w:sz w:val="24"/>
          <w:szCs w:val="24"/>
        </w:rPr>
        <w:t>–</w:t>
      </w:r>
      <w:r w:rsidR="00A05EBA">
        <w:rPr>
          <w:rFonts w:ascii="Times New Roman" w:eastAsia="宋体" w:hAnsi="Times New Roman" w:cs="Times New Roman"/>
          <w:iCs/>
          <w:sz w:val="24"/>
          <w:szCs w:val="24"/>
        </w:rPr>
        <w:t>7</w:t>
      </w:r>
      <w:r>
        <w:rPr>
          <w:rFonts w:ascii="Times New Roman" w:eastAsia="宋体" w:hAnsi="Times New Roman" w:cs="Times New Roman"/>
          <w:sz w:val="24"/>
          <w:szCs w:val="24"/>
        </w:rPr>
        <w:t>c), there is strong southerly wind near 27°N</w:t>
      </w:r>
      <w:r>
        <w:rPr>
          <w:rFonts w:ascii="Times New Roman" w:eastAsia="宋体" w:hAnsi="Times New Roman" w:cs="Times New Roman"/>
          <w:iCs/>
          <w:sz w:val="24"/>
          <w:szCs w:val="24"/>
        </w:rPr>
        <w:t>–</w:t>
      </w:r>
      <w:r>
        <w:rPr>
          <w:rFonts w:ascii="Times New Roman" w:eastAsia="宋体" w:hAnsi="Times New Roman" w:cs="Times New Roman"/>
          <w:sz w:val="24"/>
          <w:szCs w:val="24"/>
        </w:rPr>
        <w:t xml:space="preserve">38°N, but the Ctl experiment does not simulate the variability of the vertical velocity. The vertical motion for the Single and Multi experiments appears at 28°N, which is an essential factor of orographic precipitation. Fig. </w:t>
      </w:r>
      <w:r w:rsidR="00A05EBA">
        <w:rPr>
          <w:rFonts w:ascii="Times New Roman" w:eastAsia="宋体" w:hAnsi="Times New Roman" w:cs="Times New Roman"/>
          <w:sz w:val="24"/>
          <w:szCs w:val="24"/>
        </w:rPr>
        <w:t>7</w:t>
      </w:r>
      <w:r>
        <w:rPr>
          <w:rFonts w:ascii="Times New Roman" w:eastAsia="宋体" w:hAnsi="Times New Roman" w:cs="Times New Roman"/>
          <w:sz w:val="24"/>
          <w:szCs w:val="24"/>
        </w:rPr>
        <w:t xml:space="preserve">d and </w:t>
      </w:r>
      <w:r w:rsidR="00A05EBA">
        <w:rPr>
          <w:rFonts w:ascii="Times New Roman" w:eastAsia="宋体" w:hAnsi="Times New Roman" w:cs="Times New Roman"/>
          <w:sz w:val="24"/>
          <w:szCs w:val="24"/>
        </w:rPr>
        <w:t>7</w:t>
      </w:r>
      <w:r>
        <w:rPr>
          <w:rFonts w:ascii="Times New Roman" w:eastAsia="宋体" w:hAnsi="Times New Roman" w:cs="Times New Roman"/>
          <w:sz w:val="24"/>
          <w:szCs w:val="24"/>
        </w:rPr>
        <w:t>e visually show the differences between</w:t>
      </w:r>
      <w:r>
        <w:t xml:space="preserve"> </w:t>
      </w:r>
      <w:r>
        <w:rPr>
          <w:rFonts w:ascii="Times New Roman" w:eastAsia="宋体" w:hAnsi="Times New Roman" w:cs="Times New Roman"/>
          <w:sz w:val="24"/>
          <w:szCs w:val="24"/>
        </w:rPr>
        <w:t xml:space="preserve">the vertical pressure velocity and meridional-vertical circulation among the Single, Multi and Ctl experiments. </w:t>
      </w:r>
      <w:r w:rsidRPr="00515E08">
        <w:rPr>
          <w:rFonts w:ascii="Times New Roman" w:eastAsia="宋体" w:hAnsi="Times New Roman" w:cs="Times New Roman"/>
          <w:sz w:val="24"/>
          <w:szCs w:val="24"/>
        </w:rPr>
        <w:t>Mountain blocking has an impact on the Indian summer monsoon, reducing the southerly wind component in Single and Multi experiments compared to Ctl experiment</w:t>
      </w:r>
      <w:r>
        <w:rPr>
          <w:rFonts w:ascii="Times New Roman" w:eastAsia="宋体" w:hAnsi="Times New Roman" w:cs="Times New Roman"/>
          <w:sz w:val="24"/>
          <w:szCs w:val="24"/>
        </w:rPr>
        <w:t>. Due to the stronger vertical motion, the vertical and southerly wind components for the Multi experiment are stronger than those for the Single experiment.</w:t>
      </w:r>
    </w:p>
    <w:p w14:paraId="0EC220BD" w14:textId="4C55C85B" w:rsidR="0035493F" w:rsidRDefault="0035493F" w:rsidP="0035493F">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[Insert Figure </w:t>
      </w:r>
      <w:r w:rsidR="00A05EBA">
        <w:rPr>
          <w:rFonts w:ascii="Times New Roman" w:eastAsia="宋体" w:hAnsi="Times New Roman" w:cs="Times New Roman"/>
          <w:sz w:val="24"/>
          <w:szCs w:val="24"/>
        </w:rPr>
        <w:t>7</w:t>
      </w:r>
      <w:r>
        <w:rPr>
          <w:rFonts w:ascii="Times New Roman" w:eastAsia="宋体" w:hAnsi="Times New Roman" w:cs="Times New Roman" w:hint="eastAsia"/>
          <w:sz w:val="24"/>
          <w:szCs w:val="24"/>
        </w:rPr>
        <w:t>]</w:t>
      </w:r>
    </w:p>
    <w:p w14:paraId="27909B90" w14:textId="7ADBA26E"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Since the differences in the total precipitable water (TPW) and </w:t>
      </w:r>
      <w:bookmarkStart w:id="15" w:name="_Hlk116596256"/>
      <w:r>
        <w:rPr>
          <w:rFonts w:ascii="Times New Roman" w:eastAsia="宋体" w:hAnsi="Times New Roman" w:cs="Times New Roman"/>
          <w:sz w:val="24"/>
          <w:szCs w:val="24"/>
        </w:rPr>
        <w:t>10m wind</w:t>
      </w:r>
      <w:bookmarkEnd w:id="15"/>
      <w:r>
        <w:rPr>
          <w:rFonts w:ascii="Times New Roman" w:eastAsia="宋体" w:hAnsi="Times New Roman" w:cs="Times New Roman"/>
          <w:sz w:val="24"/>
          <w:szCs w:val="24"/>
        </w:rPr>
        <w:t xml:space="preserve"> are related to precipitation, we analyze the distributions of the spatial differences of the 10m wind and TPW for the Single, Multi and Ctl experiments over the Tibetan Plateau (Fig. 8). Compared with Ctl experiment, the TPW shows negative deviations in the southern and eastern edges of the Tibetan Plateau in both the Single and Multi experiments. In front of the southern slope, the TPW presents positive deviations in the Multi experiment (Fig. 8a) but negative deviations in the Single (Fig. </w:t>
      </w:r>
      <w:r>
        <w:rPr>
          <w:rFonts w:ascii="Times New Roman" w:eastAsia="宋体" w:hAnsi="Times New Roman" w:cs="Times New Roman"/>
          <w:iCs/>
          <w:sz w:val="24"/>
          <w:szCs w:val="24"/>
        </w:rPr>
        <w:t>8</w:t>
      </w:r>
      <w:r>
        <w:rPr>
          <w:rFonts w:ascii="Times New Roman" w:eastAsia="宋体" w:hAnsi="Times New Roman" w:cs="Times New Roman"/>
          <w:sz w:val="24"/>
          <w:szCs w:val="24"/>
        </w:rPr>
        <w:t>b), indicating that the Multi experiment improves the precipitation simulation in front of the windward slope and allows the water vapor transported to the front of the southern slope of the Tibetan Plateau with the Asian monsoon. This result is consistent with the precipitation distribution in Fig. 3. Also,</w:t>
      </w:r>
      <w:r>
        <w:rPr>
          <w:rFonts w:ascii="Times New Roman" w:eastAsia="宋体" w:hAnsi="Times New Roman" w:cs="Times New Roman"/>
          <w:color w:val="FF0000"/>
          <w:sz w:val="24"/>
          <w:szCs w:val="24"/>
        </w:rPr>
        <w:t xml:space="preserve"> </w:t>
      </w:r>
      <w:r>
        <w:rPr>
          <w:rFonts w:ascii="Times New Roman" w:eastAsia="宋体" w:hAnsi="Times New Roman" w:cs="Times New Roman"/>
          <w:color w:val="000000" w:themeColor="text1"/>
          <w:sz w:val="24"/>
          <w:szCs w:val="24"/>
        </w:rPr>
        <w:t>the</w:t>
      </w:r>
      <w:r>
        <w:rPr>
          <w:rFonts w:ascii="Times New Roman" w:eastAsia="宋体" w:hAnsi="Times New Roman" w:cs="Times New Roman" w:hint="eastAsia"/>
          <w:color w:val="FF0000"/>
          <w:sz w:val="24"/>
          <w:szCs w:val="24"/>
        </w:rPr>
        <w:t xml:space="preserve"> </w:t>
      </w:r>
      <w:r>
        <w:rPr>
          <w:rFonts w:ascii="Times New Roman" w:eastAsia="宋体" w:hAnsi="Times New Roman" w:cs="Times New Roman"/>
          <w:sz w:val="24"/>
          <w:szCs w:val="24"/>
        </w:rPr>
        <w:t>10m wind can prove this result. In the Single and Multi experiments, the wind speed in high altitude regions decreases. However, only in the Multi experiment, there are positive deviations at the southern foot of the Tibetan Plateau, i.e., low-altitude windward-slope regions (Fig. 8a</w:t>
      </w:r>
      <w:r>
        <w:rPr>
          <w:rFonts w:ascii="Times New Roman" w:eastAsia="宋体" w:hAnsi="Times New Roman" w:cs="Times New Roman"/>
          <w:iCs/>
          <w:sz w:val="24"/>
          <w:szCs w:val="24"/>
        </w:rPr>
        <w:t>–</w:t>
      </w:r>
      <w:r>
        <w:rPr>
          <w:rFonts w:ascii="Times New Roman" w:eastAsia="宋体" w:hAnsi="Times New Roman" w:cs="Times New Roman"/>
          <w:sz w:val="24"/>
          <w:szCs w:val="24"/>
        </w:rPr>
        <w:t>8b).</w:t>
      </w:r>
    </w:p>
    <w:p w14:paraId="71ACB9B4" w14:textId="357676EE"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[Insert Figure </w:t>
      </w:r>
      <w:r w:rsidR="00A05EBA">
        <w:rPr>
          <w:rFonts w:ascii="Times New Roman" w:eastAsia="宋体" w:hAnsi="Times New Roman" w:cs="Times New Roman"/>
          <w:sz w:val="24"/>
          <w:szCs w:val="24"/>
        </w:rPr>
        <w:t>8</w:t>
      </w:r>
      <w:r>
        <w:rPr>
          <w:rFonts w:ascii="Times New Roman" w:eastAsia="宋体" w:hAnsi="Times New Roman" w:cs="Times New Roman" w:hint="eastAsia"/>
          <w:sz w:val="24"/>
          <w:szCs w:val="24"/>
        </w:rPr>
        <w:t>]</w:t>
      </w:r>
    </w:p>
    <w:p w14:paraId="39073B32" w14:textId="254F89F3" w:rsidR="00491291"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Water vapor transport is a</w:t>
      </w:r>
      <w:r>
        <w:t xml:space="preserve"> </w:t>
      </w:r>
      <w:r>
        <w:rPr>
          <w:rFonts w:ascii="Times New Roman" w:eastAsia="宋体" w:hAnsi="Times New Roman" w:cs="Times New Roman"/>
          <w:sz w:val="24"/>
          <w:szCs w:val="24"/>
        </w:rPr>
        <w:t>critical factor in determining precipitation distribution and an essential quantity for the orographic precipitation is the horizontal water vapor flux. As shown in Fig. 9, the water vapor</w:t>
      </w:r>
      <w:r>
        <w:t xml:space="preserve"> </w:t>
      </w:r>
      <w:r>
        <w:rPr>
          <w:rFonts w:ascii="Times New Roman" w:eastAsia="宋体" w:hAnsi="Times New Roman" w:cs="Times New Roman"/>
          <w:sz w:val="24"/>
          <w:szCs w:val="24"/>
        </w:rPr>
        <w:t>transported from the northern Indian Ocean reaches the coast of the Asian continent along the Indian peninsula and the Bay of Bengal in the Ctl (Fig. 9c), Single (Fig. 9a), Multi (Fig. 9b) experiments and ERA5 (Fig. 9d). After that, the water vapor is separated into two branches, one of which reaches the southern slope of the Tibetan Plateau and flows eastward after being blocked by the plateau. The other branch transports eastward. Compared with the Ctl experiment, more water vapor is transported from the northern Indian Ocean in the Multi experiment, and more water vapor converges in front of the southern slope of the Tibetan Plateau (80°E</w:t>
      </w:r>
      <w:r>
        <w:rPr>
          <w:rFonts w:ascii="Times New Roman" w:eastAsia="宋体" w:hAnsi="Times New Roman" w:cs="Times New Roman"/>
          <w:iCs/>
          <w:sz w:val="24"/>
          <w:szCs w:val="24"/>
        </w:rPr>
        <w:t>–</w:t>
      </w:r>
      <w:r>
        <w:rPr>
          <w:rFonts w:ascii="Times New Roman" w:eastAsia="宋体" w:hAnsi="Times New Roman" w:cs="Times New Roman"/>
          <w:sz w:val="24"/>
          <w:szCs w:val="24"/>
        </w:rPr>
        <w:t>87°E, 24°N</w:t>
      </w:r>
      <w:r>
        <w:rPr>
          <w:rFonts w:ascii="Times New Roman" w:eastAsia="宋体" w:hAnsi="Times New Roman" w:cs="Times New Roman"/>
          <w:iCs/>
          <w:sz w:val="24"/>
          <w:szCs w:val="24"/>
        </w:rPr>
        <w:t>–</w:t>
      </w:r>
      <w:r>
        <w:rPr>
          <w:rFonts w:ascii="Times New Roman" w:eastAsia="宋体" w:hAnsi="Times New Roman" w:cs="Times New Roman"/>
          <w:sz w:val="24"/>
          <w:szCs w:val="24"/>
        </w:rPr>
        <w:t xml:space="preserve">26°N), but less water vapor climbs the slope. Additionally, the water vapor transported eastward weakens due to the blocking of the plateau, forming a weakened "water belt". It can be explained by Yu et al. (2015), i.e., the altitude of land surface jumps from lower than 200 m to more than 4000 m within approximately 4 model grids, and the CAM5 (Ctl experiment) allows the multi-grid transport and spurious accumulated water vapor at cold and high-altitude regions. In contrast, the scheme of multi-layer topographic vertical motion implemented in the Multi experiment considers the climbing and bypassing of airflow. Thus, in the Multi experiment, water vapor is more in </w:t>
      </w:r>
      <w:bookmarkStart w:id="16" w:name="_Hlk114576870"/>
      <w:r>
        <w:rPr>
          <w:rFonts w:ascii="Times New Roman" w:eastAsia="宋体" w:hAnsi="Times New Roman" w:cs="Times New Roman"/>
          <w:sz w:val="24"/>
          <w:szCs w:val="24"/>
        </w:rPr>
        <w:t>low-altitude regions</w:t>
      </w:r>
      <w:bookmarkEnd w:id="16"/>
      <w:r>
        <w:rPr>
          <w:rFonts w:ascii="Times New Roman" w:eastAsia="宋体" w:hAnsi="Times New Roman" w:cs="Times New Roman"/>
          <w:sz w:val="24"/>
          <w:szCs w:val="24"/>
        </w:rPr>
        <w:t xml:space="preserve"> and less </w:t>
      </w:r>
      <w:bookmarkStart w:id="17" w:name="_Hlk114576834"/>
      <w:r>
        <w:rPr>
          <w:rFonts w:ascii="Times New Roman" w:eastAsia="宋体" w:hAnsi="Times New Roman" w:cs="Times New Roman"/>
          <w:sz w:val="24"/>
          <w:szCs w:val="24"/>
        </w:rPr>
        <w:t>in high-altitude regions</w:t>
      </w:r>
      <w:bookmarkEnd w:id="17"/>
      <w:r>
        <w:rPr>
          <w:rFonts w:ascii="Times New Roman" w:eastAsia="宋体" w:hAnsi="Times New Roman" w:cs="Times New Roman"/>
          <w:sz w:val="24"/>
          <w:szCs w:val="24"/>
        </w:rPr>
        <w:t>. As a result, the precipitation is more in front of the slope and less in the southern slope of the Tibetan Plateau, which is consistent with the previous conclusion of total precipitation (Fig. 3). When the water vapor transports northward, there is a branch of water vapor in East Asia, which moves northwestward after bypassing westward and weakens markedly. This leads to a decrease in precipitation on the eastern edge of the Tibetan Plateau. Therefore, the differences between the simulations and observations, the excessive precipitation on higher slopes and less precipitation on lower slopes are considerably improved. In terms of the Single experiment, the variation of water vapor presents almost the same spatial pattern as that in the Multi</w:t>
      </w:r>
      <w:r>
        <w:t xml:space="preserve"> </w:t>
      </w:r>
      <w:r>
        <w:rPr>
          <w:rFonts w:ascii="Times New Roman" w:eastAsia="宋体" w:hAnsi="Times New Roman" w:cs="Times New Roman"/>
          <w:sz w:val="24"/>
          <w:szCs w:val="24"/>
        </w:rPr>
        <w:t>experiment but less than in the Multi</w:t>
      </w:r>
      <w:r>
        <w:t xml:space="preserve"> </w:t>
      </w:r>
      <w:r>
        <w:rPr>
          <w:rFonts w:ascii="Times New Roman" w:eastAsia="宋体" w:hAnsi="Times New Roman" w:cs="Times New Roman"/>
          <w:sz w:val="24"/>
          <w:szCs w:val="24"/>
        </w:rPr>
        <w:t>experiment. The only difference is that there is no noticeable increase in water vapor in lower slopes</w:t>
      </w:r>
      <w:r>
        <w:t xml:space="preserve"> </w:t>
      </w:r>
      <w:r>
        <w:rPr>
          <w:rFonts w:ascii="Times New Roman" w:eastAsia="宋体" w:hAnsi="Times New Roman" w:cs="Times New Roman"/>
          <w:sz w:val="24"/>
          <w:szCs w:val="24"/>
        </w:rPr>
        <w:t xml:space="preserve">due to less pronounced variation in precipitation. Rahimi et al. (2019) investigated the relationship between the location of precipitation peak along slopes and horizontal resolution, and they found that finer resolution could allow the peak location to move northward. Previous studies found that the orographic drag of complex topography may only be resolved at horizontal resolutions of a few kilometers or even finer resolutions (Sandu et al., 2016; Wang and Zhang, 2020). However, our research demonstrates that considering the sub-grid parameterization scheme of slope gradient and surface and adding the topographic vertical motion in the CAM5-SE can address the impacts of topographic complexity on precipitation. </w:t>
      </w:r>
      <w:r w:rsidR="00515E08" w:rsidRPr="00515E08">
        <w:rPr>
          <w:rFonts w:ascii="Times New Roman" w:eastAsia="宋体" w:hAnsi="Times New Roman" w:cs="Times New Roman"/>
          <w:sz w:val="24"/>
          <w:szCs w:val="24"/>
        </w:rPr>
        <w:t>It significantly improves the underestimation of precipitation over the windward slope of the Tibetan Plateau and the overestimation of precipitation over the steep edge of high mountains at the horizontal resolutions of hundred kilometers, which is equivalent to the horizontal resolutions of a few kilometers or a few months simulation in climate models (Li et al. 2022).</w:t>
      </w:r>
    </w:p>
    <w:p w14:paraId="46E577C2" w14:textId="1AE84F08" w:rsidR="00491291" w:rsidRDefault="00000000" w:rsidP="00A05EBA">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[Insert Figure </w:t>
      </w:r>
      <w:r w:rsidR="00A05EBA">
        <w:rPr>
          <w:rFonts w:ascii="Times New Roman" w:eastAsia="宋体" w:hAnsi="Times New Roman" w:cs="Times New Roman"/>
          <w:sz w:val="24"/>
          <w:szCs w:val="24"/>
        </w:rPr>
        <w:t>9</w:t>
      </w:r>
      <w:r>
        <w:rPr>
          <w:rFonts w:ascii="Times New Roman" w:eastAsia="宋体" w:hAnsi="Times New Roman" w:cs="Times New Roman" w:hint="eastAsia"/>
          <w:sz w:val="24"/>
          <w:szCs w:val="24"/>
        </w:rPr>
        <w:t>]</w:t>
      </w:r>
    </w:p>
    <w:p w14:paraId="25C1FC09"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 xml:space="preserve">Upslope flow is critical for orographic precipitation, which allows air to climb over mountains more easily (Smith 2019). Figure 10 presents the meridional-vertical cross-section of water vapor transport along 90°E. The results suggest that for the Single and Multi experiments (Fig. 10a and 10b), the vertical water vapor transport considerably enhances from 27°N, and even the lifting height in the Multi experiment is higher than that in the Single experiment. Compared with the Ctl experiment, the lifting height of water vapor reaches about 700 hPa in the Single experiment (Fig. 10d), while it reaches about 650 hPa in the Multi experiment (Fig. 10e). The upslope flow supplies the water vapor to the windward slope, and the airflow blocking reduces the precipitation over the region above 500 m. </w:t>
      </w:r>
    </w:p>
    <w:p w14:paraId="1DEEB991" w14:textId="158AAF4C"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10]</w:t>
      </w:r>
    </w:p>
    <w:p w14:paraId="0473B2EE" w14:textId="7C0309A1" w:rsidR="00A05EBA" w:rsidRPr="00A05EBA" w:rsidRDefault="00A05EBA" w:rsidP="00A05EBA">
      <w:pPr>
        <w:pStyle w:val="10"/>
        <w:widowControl/>
        <w:spacing w:before="156" w:after="156" w:line="480" w:lineRule="auto"/>
        <w:ind w:firstLineChars="0" w:firstLine="0"/>
        <w:jc w:val="left"/>
        <w:rPr>
          <w:rFonts w:ascii="Times New Roman" w:hAnsi="Times New Roman" w:cs="Times New Roman"/>
          <w:b/>
          <w:sz w:val="28"/>
          <w:szCs w:val="28"/>
        </w:rPr>
      </w:pPr>
      <w:r w:rsidRPr="00A05EBA">
        <w:rPr>
          <w:rFonts w:ascii="Times New Roman" w:hAnsi="Times New Roman" w:cs="Times New Roman"/>
          <w:b/>
          <w:sz w:val="28"/>
          <w:szCs w:val="28"/>
        </w:rPr>
        <w:t>3.3 Precipitation simulation in other complex terrain areas</w:t>
      </w:r>
    </w:p>
    <w:p w14:paraId="6A51B069"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A similar precipitation response can be found in other high mountains, such as the Andes in South America. Figure 11 shows the biases of precipitation simulated in the Single, Multi and Ctl experiments in South America during austral summer (December to February). It can be found that in December–February, there is strong southerly wind at 850 hPa (Figs. 11a</w:t>
      </w:r>
      <w:r>
        <w:rPr>
          <w:rFonts w:ascii="Times New Roman" w:eastAsia="宋体" w:hAnsi="Times New Roman" w:cs="Times New Roman"/>
          <w:iCs/>
          <w:sz w:val="24"/>
          <w:szCs w:val="24"/>
        </w:rPr>
        <w:t>–</w:t>
      </w:r>
      <w:r>
        <w:rPr>
          <w:rFonts w:ascii="Times New Roman" w:eastAsia="宋体" w:hAnsi="Times New Roman" w:cs="Times New Roman"/>
          <w:sz w:val="24"/>
          <w:szCs w:val="24"/>
        </w:rPr>
        <w:t>11b) on the western edge of the Andes (from west of 30°S to 10°S), and large positive precipitation biases can be found in front of the foot of the Andes (Fig. 11c). In the Ctl experiment, the precipitation is overestimated on ridges above 1000 m and is underestimated in some low-altitude regions on the eastern slope. These biases are closely associated with the strong wind at 850 hPa on the eastern edge of the Andes. In both Single and Multi experiments (Figs. 11a and 11b), the overestimation of precipitation decreases on ridges above 1000 m and increases in the windward slope at the eastern region of the Andes.</w:t>
      </w:r>
    </w:p>
    <w:p w14:paraId="5AE9A9F3"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11]</w:t>
      </w:r>
    </w:p>
    <w:p w14:paraId="5129A824"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The distributions of spatial differences in the specific humidity and TPW in South America for the Single, Multi and Ctl experiments are shown in Fig. 12. Similar to on the Tibetan Plateau, compared with the Ctl experiment, the TPW shows negative deviations in mountain tops in both the Single and Multi experiments, which is</w:t>
      </w:r>
      <w:r>
        <w:t xml:space="preserve"> </w:t>
      </w:r>
      <w:r>
        <w:rPr>
          <w:rFonts w:ascii="Times New Roman" w:eastAsia="宋体" w:hAnsi="Times New Roman" w:cs="Times New Roman"/>
          <w:sz w:val="24"/>
          <w:szCs w:val="24"/>
        </w:rPr>
        <w:t>in agreement with the precipitation distribution in Fig. 11. However, the TPW on the foot of the northeastern slope (windward) only displays positive deviations in the Multi experiment but negative deviations in the Single experiment (Fig. 12a</w:t>
      </w:r>
      <w:r>
        <w:rPr>
          <w:rFonts w:ascii="Times New Roman" w:eastAsia="宋体" w:hAnsi="Times New Roman" w:cs="Times New Roman"/>
          <w:iCs/>
          <w:sz w:val="24"/>
          <w:szCs w:val="24"/>
        </w:rPr>
        <w:t xml:space="preserve"> and </w:t>
      </w:r>
      <w:r>
        <w:rPr>
          <w:rFonts w:ascii="Times New Roman" w:eastAsia="宋体" w:hAnsi="Times New Roman" w:cs="Times New Roman"/>
          <w:sz w:val="24"/>
          <w:szCs w:val="24"/>
        </w:rPr>
        <w:t>b). This result suggests that the Multi experiment improves the precipitation simulation in front of the windward slope, and in both the Multi and Single experiments, the water vapor is transported to the eastern slope. Thus, the TPW accumulates in this area to form large positive deviations. The results for the specific humidity (Fig.12c</w:t>
      </w:r>
      <w:r>
        <w:rPr>
          <w:rFonts w:ascii="Times New Roman" w:eastAsia="宋体" w:hAnsi="Times New Roman" w:cs="Times New Roman"/>
          <w:iCs/>
          <w:sz w:val="24"/>
          <w:szCs w:val="24"/>
        </w:rPr>
        <w:t>–12</w:t>
      </w:r>
      <w:r>
        <w:rPr>
          <w:rFonts w:ascii="Times New Roman" w:eastAsia="宋体" w:hAnsi="Times New Roman" w:cs="Times New Roman"/>
          <w:sz w:val="24"/>
          <w:szCs w:val="24"/>
        </w:rPr>
        <w:t xml:space="preserve">d) and TPW are consistent. In the Single and Multi </w:t>
      </w:r>
      <w:bookmarkStart w:id="18" w:name="_Hlk116602875"/>
      <w:r>
        <w:rPr>
          <w:rFonts w:ascii="Times New Roman" w:eastAsia="宋体" w:hAnsi="Times New Roman" w:cs="Times New Roman"/>
          <w:sz w:val="24"/>
          <w:szCs w:val="24"/>
        </w:rPr>
        <w:t>experiment</w:t>
      </w:r>
      <w:bookmarkEnd w:id="18"/>
      <w:r>
        <w:rPr>
          <w:rFonts w:ascii="Times New Roman" w:eastAsia="宋体" w:hAnsi="Times New Roman" w:cs="Times New Roman"/>
          <w:sz w:val="24"/>
          <w:szCs w:val="24"/>
        </w:rPr>
        <w:t>s, there are dry deviations in high-altitude regions. However, only in the Multi experiment, there are wet deviations at the southern foot of the Tibetan Plateau, i.e., the low-altitude windward-slope regions.</w:t>
      </w:r>
    </w:p>
    <w:p w14:paraId="46245740" w14:textId="77777777"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Figure 12]</w:t>
      </w:r>
    </w:p>
    <w:p w14:paraId="47D8ED22" w14:textId="77777777" w:rsidR="00B244E8" w:rsidRDefault="00B244E8" w:rsidP="00B244E8">
      <w:pPr>
        <w:spacing w:beforeLines="100" w:before="312" w:afterLines="100" w:after="312"/>
        <w:rPr>
          <w:rFonts w:ascii="Times New Roman" w:eastAsia="宋体" w:hAnsi="Times New Roman" w:cs="Times New Roman"/>
          <w:sz w:val="24"/>
          <w:szCs w:val="24"/>
        </w:rPr>
      </w:pPr>
      <w:r w:rsidRPr="00B244E8">
        <w:rPr>
          <w:rFonts w:ascii="Times New Roman" w:eastAsia="宋体" w:hAnsi="Times New Roman" w:cs="Times New Roman"/>
          <w:sz w:val="24"/>
          <w:szCs w:val="24"/>
        </w:rPr>
        <w:t>Table 1 presents the root mean square error (RMSE) of precipitation simulations in several typical areas with complex terrain during boreal summer or winter (figure omitted). The results indicate that in the Tibetan Plateau (70°E–105°E, 22°N–45°N, boreal summer precipitation), Equatorial New Guinea and Indonesia (100°E–150°E, 10°S–10°N, boreal summer precipitation), South America (30°W–90°W, 60°S–5°N, boreal winter precipitation), and North America (155°W–122°W, 30°N–65°N, boreal winter precipitation) the RMSE values of precipitation simulations in the sensitivity experiments are smaller than those in the Ctl experiment. For the Ctl experiment, the RMSE is the largest over Tibetan Plateau (5.44) and the smallest over North America (1.57). Almost all GCMs have large deviations in precipitation simulations on the Tibetan Plateau. Therefore, after considering the dynamic lifting of topography, the improvement of biases in this area is the most pronounced, followed by Equatorial New Guinea (26.3%) and the smallest in North America (9.55%). Moreover, the improvement of the Multi experiment is better than that of the Single experiment, reaching about 29.23%, which indicates that the steeper the mountains are, the more obvious the influence of lifting condensation on multi-layer vertical velocity is. The impact of single topographic vertical motion is limited to low-altitude areas. However, in Africa, the surface is relatively flat, and the slope gradient is small (Wang et al., 2022). Thus, the method in this research may not be as effective so it is no longer mentioned in Table 1.</w:t>
      </w:r>
      <w:r w:rsidRPr="00B244E8">
        <w:rPr>
          <w:rFonts w:ascii="Times New Roman" w:eastAsia="宋体" w:hAnsi="Times New Roman" w:cs="Times New Roman" w:hint="eastAsia"/>
          <w:sz w:val="24"/>
          <w:szCs w:val="24"/>
        </w:rPr>
        <w:t xml:space="preserve"> </w:t>
      </w:r>
    </w:p>
    <w:p w14:paraId="18F6E68E" w14:textId="61516F18" w:rsidR="00E76A53" w:rsidRDefault="00000000">
      <w:pPr>
        <w:spacing w:beforeLines="100" w:before="312" w:afterLines="100" w:after="312"/>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[Insert Table 1]</w:t>
      </w:r>
    </w:p>
    <w:p w14:paraId="0C1FC4BD" w14:textId="6869413D" w:rsidR="00725676" w:rsidRDefault="00725676" w:rsidP="00725676">
      <w:pPr>
        <w:spacing w:beforeLines="100" w:before="312" w:afterLines="100" w:after="312"/>
        <w:rPr>
          <w:rFonts w:ascii="Times New Roman" w:eastAsia="宋体" w:hAnsi="Times New Roman" w:cs="Times New Roman"/>
          <w:sz w:val="24"/>
          <w:szCs w:val="24"/>
        </w:rPr>
      </w:pPr>
      <w:r w:rsidRPr="00725676">
        <w:rPr>
          <w:rFonts w:ascii="Times New Roman" w:eastAsia="宋体" w:hAnsi="Times New Roman" w:cs="Times New Roman"/>
          <w:sz w:val="24"/>
          <w:szCs w:val="24"/>
        </w:rPr>
        <w:t>Notably, the improvement of precipitation simulations is noticeable over the Tibetan Plateau but not in the Rocky Mountain region in North America (figure omitted). The main reason is that in the Rocky Mountain region, the wind direction is parallel to the mountain range, and the angle between the prevailing wind direction on the western side of the mountain (steep slope) and the slope surface is close to 90°. Thus, there can be no lifting motion caused by topography. The topographic vertical motion is not only dependent on the slope gradient, but also associated with the angle between the wind direction and the slope surface. Therefore, the large amount of water vapor from the ocean cannot be transported to the mountains. In order to understand and solve these remaining problems, more numerical experiments and more detailed analyses should be further conducted. Moreover, when we only consider the steep slope of mountains, it would greatly impact the precipitation simulation of the regional climate. Future research is also needed to investigate the possibility of applying the topographic vertical motion scheme to extreme precipitation simulation in local areas, allowing weather models to more accurately simulate extreme precipitation caused by topography.</w:t>
      </w:r>
    </w:p>
    <w:p w14:paraId="52F78278" w14:textId="0959540E" w:rsidR="00E76A53" w:rsidRDefault="00000000">
      <w:pPr>
        <w:pStyle w:val="10"/>
        <w:widowControl/>
        <w:spacing w:before="156" w:after="156" w:line="480" w:lineRule="auto"/>
        <w:ind w:firstLineChars="0" w:firstLine="0"/>
        <w:jc w:val="left"/>
        <w:rPr>
          <w:rFonts w:ascii="Times New Roman" w:hAnsi="Times New Roman" w:cs="Times New Roman"/>
          <w:b/>
          <w:sz w:val="28"/>
          <w:szCs w:val="28"/>
        </w:rPr>
      </w:pPr>
      <w:r>
        <w:rPr>
          <w:rFonts w:ascii="Times New Roman" w:hAnsi="Times New Roman" w:cs="Times New Roman" w:hint="eastAsia"/>
          <w:b/>
          <w:sz w:val="28"/>
          <w:szCs w:val="28"/>
        </w:rPr>
        <w:t xml:space="preserve">4 </w:t>
      </w:r>
      <w:r>
        <w:rPr>
          <w:rFonts w:ascii="Times New Roman" w:hAnsi="Times New Roman" w:cs="Times New Roman"/>
          <w:b/>
          <w:sz w:val="28"/>
          <w:szCs w:val="28"/>
        </w:rPr>
        <w:t xml:space="preserve">Conclusions </w:t>
      </w:r>
    </w:p>
    <w:p w14:paraId="7C5507DD" w14:textId="301952B0"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A common bias of the AGCMs is the overestimation of orographic precipitation. One primary reason for this bias is the imperfection of the sub-grid terrain parameterization scheme. One critical reason is that the influence of topographic lifting on airflow and water vapor transport is not considered in numerical models. In this study, we investigate whether such excessive precipitation simulation can be improved by considering the topographic vertical velocity in the CAM5-SE. The results show that the simulated precipitation in steep regions is sensitive to topographic vertical velocity. In the Multi experiment, the</w:t>
      </w:r>
      <w:r>
        <w:t xml:space="preserve"> </w:t>
      </w:r>
      <w:r>
        <w:rPr>
          <w:rFonts w:ascii="Times New Roman" w:eastAsia="宋体" w:hAnsi="Times New Roman" w:cs="Times New Roman"/>
          <w:sz w:val="24"/>
          <w:szCs w:val="24"/>
        </w:rPr>
        <w:t>underestimated total precipitation</w:t>
      </w:r>
      <w:r>
        <w:t xml:space="preserve"> </w:t>
      </w:r>
      <w:r>
        <w:rPr>
          <w:rFonts w:ascii="Times New Roman" w:eastAsia="宋体" w:hAnsi="Times New Roman" w:cs="Times New Roman"/>
          <w:sz w:val="24"/>
          <w:szCs w:val="24"/>
        </w:rPr>
        <w:t xml:space="preserve">is remarkably improved at lower layers on steep windward slopes. </w:t>
      </w:r>
      <w:r w:rsidR="0074484F" w:rsidRPr="0074484F">
        <w:rPr>
          <w:rFonts w:ascii="Times New Roman" w:eastAsia="宋体" w:hAnsi="Times New Roman" w:cs="Times New Roman"/>
          <w:sz w:val="24"/>
          <w:szCs w:val="24"/>
        </w:rPr>
        <w:t>However, in the Ctl experiment, there are large dry biases, but the overestimation of precipitation in high-altitude areas of steep mountains is markedly reduced in Multi experiment</w:t>
      </w:r>
      <w:r>
        <w:rPr>
          <w:rFonts w:ascii="Times New Roman" w:eastAsia="宋体" w:hAnsi="Times New Roman" w:cs="Times New Roman"/>
          <w:sz w:val="24"/>
          <w:szCs w:val="24"/>
        </w:rPr>
        <w:t>. The increase of precipitation on steep windward slopes and the decrease of precipitation in high-altitude areas of mountains are mainly</w:t>
      </w:r>
      <w:r>
        <w:t xml:space="preserve"> </w:t>
      </w:r>
      <w:r>
        <w:rPr>
          <w:rFonts w:ascii="Times New Roman" w:eastAsia="宋体" w:hAnsi="Times New Roman" w:cs="Times New Roman"/>
          <w:sz w:val="24"/>
          <w:szCs w:val="24"/>
        </w:rPr>
        <w:t xml:space="preserve">due to the contribution of convective precipitation, which is greater in the Multi experiment than in the Single experiment. The improvement of precipitation simulations is closely related to dynamic lifting. If the dynamic uplifting effect is not considered, every grid is flat without considering the slope gradient and slope surface. In this case, a large amount of water vapor accumulates in high-altitude areas on the top of mountains. This is partially responsible for the excessive water vapor and precipitation in high-altitude regions of steep mountains in the Ctl experiment. </w:t>
      </w:r>
    </w:p>
    <w:p w14:paraId="651B940E"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sz w:val="24"/>
          <w:szCs w:val="24"/>
        </w:rPr>
        <w:t>Moreover, in this study, the sub-grid parameterization scheme of the topographic vertical motion performs well in precipitation simulations over complex terrains, such as the Tibetan Plateau and the Andes in South America. Moreover, the improvement of precipitation simulations for the Multi experiment is better than that for the Single experiment. As shown in Fig. 1a, with increasing numerical model resolution, the influence of topography on multi-layer vertical velocity weakens. Therefore, it is necessary to use high-resolution numerical experiments to verify whether the</w:t>
      </w:r>
      <w:r>
        <w:t xml:space="preserve"> </w:t>
      </w:r>
      <w:r>
        <w:rPr>
          <w:rFonts w:ascii="Times New Roman" w:eastAsia="宋体" w:hAnsi="Times New Roman" w:cs="Times New Roman"/>
          <w:sz w:val="24"/>
          <w:szCs w:val="24"/>
        </w:rPr>
        <w:t>dynamic lifting effect of sub-grid topography on airflow still exists.</w:t>
      </w:r>
    </w:p>
    <w:p w14:paraId="54DEFCEC" w14:textId="09179AF6" w:rsidR="009A1A3D" w:rsidRPr="009A1A3D" w:rsidRDefault="009A1A3D">
      <w:pPr>
        <w:spacing w:beforeLines="100" w:before="312" w:afterLines="100" w:after="312"/>
        <w:rPr>
          <w:rFonts w:ascii="Times New Roman" w:eastAsia="宋体" w:hAnsi="Times New Roman" w:cs="Times New Roman"/>
          <w:sz w:val="24"/>
          <w:szCs w:val="24"/>
        </w:rPr>
      </w:pPr>
      <w:r w:rsidRPr="009A1A3D">
        <w:rPr>
          <w:rFonts w:ascii="Times New Roman" w:eastAsia="宋体" w:hAnsi="Times New Roman" w:cs="Times New Roman"/>
          <w:b/>
          <w:bCs/>
          <w:sz w:val="24"/>
          <w:szCs w:val="24"/>
        </w:rPr>
        <w:t>Acknowledgments</w:t>
      </w:r>
      <w:r>
        <w:rPr>
          <w:rFonts w:ascii="Times New Roman" w:eastAsia="宋体" w:hAnsi="Times New Roman" w:cs="Times New Roman"/>
          <w:b/>
          <w:bCs/>
          <w:sz w:val="24"/>
          <w:szCs w:val="24"/>
        </w:rPr>
        <w:t xml:space="preserve">: </w:t>
      </w:r>
      <w:r w:rsidRPr="009A1A3D">
        <w:rPr>
          <w:rFonts w:ascii="Times New Roman" w:eastAsia="宋体" w:hAnsi="Times New Roman" w:cs="Times New Roman"/>
          <w:sz w:val="24"/>
          <w:szCs w:val="24"/>
        </w:rPr>
        <w:t xml:space="preserve">The authors would like to thank the administrator of </w:t>
      </w:r>
      <w:r w:rsidR="00CD06D0">
        <w:rPr>
          <w:rFonts w:ascii="Times New Roman" w:eastAsia="宋体" w:hAnsi="Times New Roman" w:cs="Times New Roman"/>
          <w:sz w:val="24"/>
          <w:szCs w:val="24"/>
        </w:rPr>
        <w:t>Beijing Normal University</w:t>
      </w:r>
      <w:r w:rsidR="00CD06D0" w:rsidRPr="009A1A3D">
        <w:rPr>
          <w:rFonts w:ascii="Times New Roman" w:eastAsia="宋体" w:hAnsi="Times New Roman" w:cs="Times New Roman"/>
          <w:sz w:val="24"/>
          <w:szCs w:val="24"/>
        </w:rPr>
        <w:t xml:space="preserve"> </w:t>
      </w:r>
      <w:r w:rsidRPr="009A1A3D">
        <w:rPr>
          <w:rFonts w:ascii="Times New Roman" w:eastAsia="宋体" w:hAnsi="Times New Roman" w:cs="Times New Roman"/>
          <w:sz w:val="24"/>
          <w:szCs w:val="24"/>
        </w:rPr>
        <w:t>High Performance Computing for providing the high-performance computing (HPC) environment and technical support.</w:t>
      </w:r>
    </w:p>
    <w:p w14:paraId="57497C29" w14:textId="5ABE6E9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b/>
          <w:bCs/>
          <w:sz w:val="24"/>
          <w:szCs w:val="24"/>
        </w:rPr>
        <w:t xml:space="preserve">Author contributions: </w:t>
      </w:r>
      <w:r>
        <w:rPr>
          <w:rFonts w:ascii="Times New Roman" w:eastAsia="宋体" w:hAnsi="Times New Roman" w:cs="Times New Roman"/>
          <w:sz w:val="24"/>
          <w:szCs w:val="24"/>
        </w:rPr>
        <w:t>YQW and LNW designed the experiments and</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the scope and structure of the manuscript. YQW carried out the simulations and analyzed the results</w:t>
      </w:r>
      <w:r w:rsidR="008B2280">
        <w:rPr>
          <w:rFonts w:ascii="Times New Roman" w:eastAsia="宋体" w:hAnsi="Times New Roman" w:cs="Times New Roman"/>
          <w:sz w:val="24"/>
          <w:szCs w:val="24"/>
        </w:rPr>
        <w:t xml:space="preserve"> </w:t>
      </w:r>
      <w:r w:rsidR="008B2280" w:rsidRPr="008B2280">
        <w:rPr>
          <w:rFonts w:ascii="Times New Roman" w:eastAsia="宋体" w:hAnsi="Times New Roman" w:cs="Times New Roman"/>
          <w:sz w:val="24"/>
          <w:szCs w:val="24"/>
        </w:rPr>
        <w:t>with help from</w:t>
      </w:r>
      <w:r w:rsidR="008B2280">
        <w:rPr>
          <w:rFonts w:ascii="Times New Roman" w:eastAsia="宋体" w:hAnsi="Times New Roman" w:cs="Times New Roman"/>
          <w:sz w:val="24"/>
          <w:szCs w:val="24"/>
        </w:rPr>
        <w:t xml:space="preserve"> </w:t>
      </w:r>
      <w:r w:rsidR="008B2280">
        <w:rPr>
          <w:rFonts w:ascii="Times New Roman" w:eastAsia="宋体" w:hAnsi="Times New Roman" w:cs="Times New Roman" w:hint="eastAsia"/>
          <w:sz w:val="24"/>
          <w:szCs w:val="24"/>
        </w:rPr>
        <w:t>JF</w:t>
      </w:r>
      <w:r w:rsidR="008B2280">
        <w:rPr>
          <w:rFonts w:ascii="Times New Roman" w:eastAsia="宋体" w:hAnsi="Times New Roman" w:cs="Times New Roman"/>
          <w:sz w:val="24"/>
          <w:szCs w:val="24"/>
        </w:rPr>
        <w:t>, ZYS, QZW and HQC</w:t>
      </w:r>
      <w:r>
        <w:rPr>
          <w:rFonts w:ascii="Times New Roman" w:eastAsia="宋体" w:hAnsi="Times New Roman" w:cs="Times New Roman"/>
          <w:sz w:val="24"/>
          <w:szCs w:val="24"/>
        </w:rPr>
        <w:t>. All authors gave comments and contributed</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to the development of the paper.</w:t>
      </w:r>
    </w:p>
    <w:p w14:paraId="392D02F1" w14:textId="77777777" w:rsidR="00E76A53" w:rsidRDefault="00000000">
      <w:pPr>
        <w:spacing w:beforeLines="100" w:before="312" w:afterLines="100" w:after="312"/>
        <w:rPr>
          <w:rFonts w:ascii="Times New Roman" w:eastAsia="宋体" w:hAnsi="Times New Roman" w:cs="Times New Roman"/>
          <w:sz w:val="24"/>
          <w:szCs w:val="24"/>
        </w:rPr>
      </w:pPr>
      <w:r>
        <w:rPr>
          <w:rFonts w:ascii="Times New Roman" w:eastAsia="宋体" w:hAnsi="Times New Roman" w:cs="Times New Roman" w:hint="eastAsia"/>
          <w:b/>
          <w:bCs/>
          <w:sz w:val="24"/>
          <w:szCs w:val="24"/>
        </w:rPr>
        <w:t>F</w:t>
      </w:r>
      <w:r>
        <w:rPr>
          <w:rFonts w:ascii="Times New Roman" w:eastAsia="宋体" w:hAnsi="Times New Roman" w:cs="Times New Roman"/>
          <w:b/>
          <w:bCs/>
          <w:sz w:val="24"/>
          <w:szCs w:val="24"/>
        </w:rPr>
        <w:t>unding:</w:t>
      </w:r>
      <w:r>
        <w:rPr>
          <w:rFonts w:ascii="Times New Roman" w:eastAsia="宋体" w:hAnsi="Times New Roman" w:cs="Times New Roman"/>
          <w:sz w:val="24"/>
          <w:szCs w:val="24"/>
        </w:rPr>
        <w:t xml:space="preserve"> The research work presented in this paper was supported by the Marine S&amp;T Fund of Shandong Province for Pilot National Laboratory for Marine Science and Technology (Qingdao) (2022QNLM010202) and the National Natural Science Foundation of China (41830536).</w:t>
      </w:r>
    </w:p>
    <w:p w14:paraId="7E63BB7E" w14:textId="782FD725" w:rsidR="002A1107" w:rsidRDefault="002A1107" w:rsidP="002A1107">
      <w:pPr>
        <w:pStyle w:val="12"/>
        <w:rPr>
          <w:rFonts w:eastAsia="黑体"/>
          <w:sz w:val="24"/>
        </w:rPr>
      </w:pPr>
      <w:r>
        <w:rPr>
          <w:rFonts w:eastAsia="黑体"/>
          <w:b/>
          <w:bCs/>
          <w:sz w:val="24"/>
        </w:rPr>
        <w:t>Code and Data availability:</w:t>
      </w:r>
      <w:r>
        <w:rPr>
          <w:rFonts w:eastAsia="黑体"/>
          <w:sz w:val="24"/>
        </w:rPr>
        <w:t xml:space="preserve"> GPCP V3.0 data is available from  </w:t>
      </w:r>
      <w:hyperlink r:id="rId7" w:history="1">
        <w:r>
          <w:rPr>
            <w:rStyle w:val="af"/>
            <w:rFonts w:eastAsia="黑体"/>
            <w:sz w:val="24"/>
          </w:rPr>
          <w:t>https://doi.org/10.5067/TTO0VJF2FSYR</w:t>
        </w:r>
      </w:hyperlink>
      <w:r w:rsidR="00A133F4">
        <w:rPr>
          <w:rFonts w:eastAsia="黑体"/>
          <w:sz w:val="24"/>
        </w:rPr>
        <w:t>(</w:t>
      </w:r>
      <w:r w:rsidR="003303DE" w:rsidRPr="003303DE">
        <w:t xml:space="preserve"> </w:t>
      </w:r>
      <w:r w:rsidR="003303DE" w:rsidRPr="003303DE">
        <w:rPr>
          <w:rFonts w:eastAsia="黑体"/>
          <w:sz w:val="24"/>
        </w:rPr>
        <w:t xml:space="preserve">last access: 29 </w:t>
      </w:r>
      <w:r w:rsidR="003303DE">
        <w:rPr>
          <w:rFonts w:eastAsia="黑体"/>
          <w:sz w:val="24"/>
        </w:rPr>
        <w:t>June</w:t>
      </w:r>
      <w:r w:rsidR="003303DE" w:rsidRPr="003303DE">
        <w:rPr>
          <w:rFonts w:eastAsia="黑体"/>
          <w:sz w:val="24"/>
        </w:rPr>
        <w:t xml:space="preserve"> 202</w:t>
      </w:r>
      <w:r w:rsidR="003303DE">
        <w:rPr>
          <w:rFonts w:eastAsia="黑体"/>
          <w:sz w:val="24"/>
        </w:rPr>
        <w:t>2</w:t>
      </w:r>
      <w:r w:rsidR="00A133F4">
        <w:rPr>
          <w:rFonts w:eastAsia="黑体"/>
          <w:sz w:val="24"/>
        </w:rPr>
        <w:t>)</w:t>
      </w:r>
      <w:r w:rsidR="00772C29">
        <w:rPr>
          <w:rFonts w:eastAsia="黑体"/>
          <w:sz w:val="24"/>
        </w:rPr>
        <w:t>.</w:t>
      </w:r>
      <w:r>
        <w:rPr>
          <w:rFonts w:eastAsia="黑体"/>
          <w:sz w:val="24"/>
        </w:rPr>
        <w:t xml:space="preserve"> DEM data can be found at </w:t>
      </w:r>
      <w:hyperlink r:id="rId8" w:history="1">
        <w:r>
          <w:rPr>
            <w:rStyle w:val="af"/>
            <w:rFonts w:eastAsia="黑体"/>
            <w:sz w:val="24"/>
          </w:rPr>
          <w:t>http://usgs.gov/</w:t>
        </w:r>
      </w:hyperlink>
      <w:r>
        <w:rPr>
          <w:rFonts w:eastAsia="黑体"/>
          <w:sz w:val="24"/>
        </w:rPr>
        <w:t xml:space="preserve">. The ERA5 atmospheric datasets used in this study is available from: </w:t>
      </w:r>
      <w:hyperlink r:id="rId9" w:history="1">
        <w:r>
          <w:rPr>
            <w:rStyle w:val="af"/>
            <w:rFonts w:eastAsia="黑体"/>
            <w:sz w:val="24"/>
          </w:rPr>
          <w:t>https://doi.org/10.24381/cds.6860a573</w:t>
        </w:r>
      </w:hyperlink>
      <w:r w:rsidR="00772C29">
        <w:rPr>
          <w:rFonts w:eastAsia="黑体"/>
          <w:sz w:val="24"/>
        </w:rPr>
        <w:t>(</w:t>
      </w:r>
      <w:r w:rsidR="00772C29" w:rsidRPr="003303DE">
        <w:rPr>
          <w:rFonts w:eastAsia="黑体"/>
          <w:sz w:val="24"/>
        </w:rPr>
        <w:t xml:space="preserve">last access: 29 </w:t>
      </w:r>
      <w:r w:rsidR="00772C29">
        <w:rPr>
          <w:rFonts w:eastAsia="黑体"/>
          <w:sz w:val="24"/>
        </w:rPr>
        <w:t>June</w:t>
      </w:r>
      <w:r w:rsidR="00772C29" w:rsidRPr="003303DE">
        <w:rPr>
          <w:rFonts w:eastAsia="黑体"/>
          <w:sz w:val="24"/>
        </w:rPr>
        <w:t xml:space="preserve"> 202</w:t>
      </w:r>
      <w:r w:rsidR="00772C29">
        <w:rPr>
          <w:rFonts w:eastAsia="黑体"/>
          <w:sz w:val="24"/>
        </w:rPr>
        <w:t>2)</w:t>
      </w:r>
      <w:r>
        <w:rPr>
          <w:rFonts w:eastAsia="黑体"/>
          <w:sz w:val="24"/>
        </w:rPr>
        <w:t xml:space="preserve">. </w:t>
      </w:r>
      <w:r w:rsidR="009616DB">
        <w:rPr>
          <w:rFonts w:eastAsia="黑体"/>
          <w:sz w:val="24"/>
        </w:rPr>
        <w:t>The source code of CAM-SE5.3 is available from http://www.cesm.ucar.edu/models/cesm1.2/</w:t>
      </w:r>
      <w:r w:rsidR="00772C29">
        <w:rPr>
          <w:rFonts w:eastAsia="黑体"/>
          <w:sz w:val="24"/>
        </w:rPr>
        <w:t>(</w:t>
      </w:r>
      <w:r w:rsidR="00772C29" w:rsidRPr="003303DE">
        <w:rPr>
          <w:rFonts w:eastAsia="黑体"/>
          <w:sz w:val="24"/>
        </w:rPr>
        <w:t xml:space="preserve">last access: </w:t>
      </w:r>
      <w:r w:rsidR="00772C29">
        <w:rPr>
          <w:rFonts w:eastAsia="黑体"/>
          <w:sz w:val="24"/>
        </w:rPr>
        <w:t>20</w:t>
      </w:r>
      <w:r w:rsidR="00772C29" w:rsidRPr="003303DE">
        <w:rPr>
          <w:rFonts w:eastAsia="黑体"/>
          <w:sz w:val="24"/>
        </w:rPr>
        <w:t xml:space="preserve"> </w:t>
      </w:r>
      <w:r w:rsidR="00772C29">
        <w:rPr>
          <w:rFonts w:eastAsia="黑体"/>
          <w:sz w:val="24"/>
        </w:rPr>
        <w:t>April</w:t>
      </w:r>
      <w:r w:rsidR="00772C29" w:rsidRPr="003303DE">
        <w:rPr>
          <w:rFonts w:eastAsia="黑体"/>
          <w:sz w:val="24"/>
        </w:rPr>
        <w:t xml:space="preserve"> 202</w:t>
      </w:r>
      <w:r w:rsidR="00772C29">
        <w:rPr>
          <w:rFonts w:eastAsia="黑体"/>
          <w:sz w:val="24"/>
        </w:rPr>
        <w:t>2)</w:t>
      </w:r>
      <w:r w:rsidR="009616DB">
        <w:rPr>
          <w:rFonts w:eastAsia="黑体"/>
          <w:sz w:val="24"/>
        </w:rPr>
        <w:t>.</w:t>
      </w:r>
      <w:r w:rsidRPr="002A1107">
        <w:t xml:space="preserve"> </w:t>
      </w:r>
      <w:r w:rsidRPr="002A1107">
        <w:rPr>
          <w:rFonts w:eastAsia="黑体"/>
          <w:sz w:val="24"/>
        </w:rPr>
        <w:t>The dataset related to this paper is available online via Zenodo</w:t>
      </w:r>
      <w:r>
        <w:rPr>
          <w:rFonts w:eastAsia="黑体"/>
          <w:sz w:val="24"/>
        </w:rPr>
        <w:t>:</w:t>
      </w:r>
      <w:r w:rsidRPr="002A1107">
        <w:t xml:space="preserve"> </w:t>
      </w:r>
      <w:hyperlink r:id="rId10" w:history="1">
        <w:r w:rsidRPr="005E0E10">
          <w:rPr>
            <w:rStyle w:val="af"/>
            <w:rFonts w:eastAsia="黑体"/>
            <w:sz w:val="24"/>
          </w:rPr>
          <w:t>https://doi.org/10.5281/zenodo.7256923</w:t>
        </w:r>
      </w:hyperlink>
      <w:r w:rsidR="00772C29">
        <w:rPr>
          <w:rFonts w:eastAsia="黑体"/>
          <w:sz w:val="24"/>
        </w:rPr>
        <w:t>.</w:t>
      </w:r>
    </w:p>
    <w:p w14:paraId="7664BC2E" w14:textId="0297389E" w:rsidR="00E76A53" w:rsidRDefault="00000000" w:rsidP="002A1107">
      <w:pPr>
        <w:pStyle w:val="12"/>
        <w:rPr>
          <w:rFonts w:eastAsia="黑体"/>
          <w:sz w:val="24"/>
        </w:rPr>
      </w:pPr>
      <w:r>
        <w:rPr>
          <w:rFonts w:eastAsia="黑体"/>
          <w:b/>
          <w:bCs/>
          <w:sz w:val="24"/>
        </w:rPr>
        <w:t>Competing interests</w:t>
      </w:r>
      <w:r>
        <w:rPr>
          <w:rFonts w:eastAsia="黑体"/>
          <w:sz w:val="24"/>
        </w:rPr>
        <w:t>. The authors declare that they have no conflict</w:t>
      </w:r>
      <w:r>
        <w:rPr>
          <w:rFonts w:eastAsia="黑体" w:hint="eastAsia"/>
          <w:sz w:val="24"/>
        </w:rPr>
        <w:t xml:space="preserve"> </w:t>
      </w:r>
      <w:r>
        <w:rPr>
          <w:rFonts w:eastAsia="黑体"/>
          <w:sz w:val="24"/>
        </w:rPr>
        <w:t>of interest.</w:t>
      </w:r>
    </w:p>
    <w:p w14:paraId="119437CF" w14:textId="77777777" w:rsidR="00E76A53" w:rsidRDefault="00000000">
      <w:pPr>
        <w:rPr>
          <w:rFonts w:ascii="Times New Roman" w:eastAsia="黑体" w:hAnsi="Times New Roman" w:cs="Times New Roman"/>
          <w:b/>
          <w:bCs/>
          <w:sz w:val="24"/>
          <w:szCs w:val="21"/>
        </w:rPr>
      </w:pPr>
      <w:r>
        <w:rPr>
          <w:rFonts w:ascii="Times New Roman" w:eastAsia="宋体" w:hAnsi="Times New Roman" w:cs="Times New Roman"/>
          <w:sz w:val="24"/>
          <w:szCs w:val="24"/>
        </w:rPr>
        <w:br w:type="page"/>
      </w:r>
      <w:r>
        <w:rPr>
          <w:rFonts w:ascii="Times New Roman" w:eastAsia="黑体" w:hAnsi="Times New Roman" w:cs="Times New Roman" w:hint="eastAsia"/>
          <w:b/>
          <w:bCs/>
          <w:sz w:val="24"/>
          <w:szCs w:val="21"/>
        </w:rPr>
        <w:t>R</w:t>
      </w:r>
      <w:r>
        <w:rPr>
          <w:rFonts w:ascii="Times New Roman" w:eastAsia="黑体" w:hAnsi="Times New Roman" w:cs="Times New Roman"/>
          <w:b/>
          <w:bCs/>
          <w:sz w:val="24"/>
          <w:szCs w:val="21"/>
        </w:rPr>
        <w:t>eference</w:t>
      </w:r>
    </w:p>
    <w:p w14:paraId="7E2DC6DA"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Akinsanola A A, Ongoma V, Kooperman G J.: Evaluation of CMIP6 models in simulating the statistics of extreme precipitation over Eastern Africa. Atmos. Res. 254: 105509 , 2021.</w:t>
      </w:r>
    </w:p>
    <w:p w14:paraId="3D32A46A"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Alpert P, Shafir H. Mesoγ-Scale Distribution of Orographic Precipitation: Numerical Study and Comparison with Precipitation Derived from Radar Measurements. J Appl Meteorol, 28(10):1105-1117 , 1989.</w:t>
      </w:r>
    </w:p>
    <w:p w14:paraId="5ADA3CDD"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Alpert, P., F. Jin, and H. Shafir.: Orographic precipitation simulated by a super-high resolution global climate model over the Middle East, National Security and Human Health Implications of Climate Change, 1, 301–306, doi:10.1007/978-94-007-2430-3_26 , 2012.</w:t>
      </w:r>
    </w:p>
    <w:p w14:paraId="015DD9A2" w14:textId="012ADABF"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Attada R, Dasari H P, Kunchala R K, et al.: Evaluating cumulus parameterization schemes for the simulation of Arabian Peninsula winter rainfall. Journal of Hydrometeorology. 21(5): 1089-1114 , 2020.</w:t>
      </w:r>
    </w:p>
    <w:p w14:paraId="64167400" w14:textId="22DD03B2" w:rsidR="0053071F" w:rsidRDefault="0053071F" w:rsidP="0053071F">
      <w:pPr>
        <w:widowControl/>
        <w:ind w:left="480" w:hangingChars="200" w:hanging="480"/>
        <w:rPr>
          <w:rFonts w:ascii="Times New Roman" w:hAnsi="Times New Roman" w:cs="Times New Roman"/>
          <w:kern w:val="0"/>
          <w:sz w:val="24"/>
          <w:szCs w:val="24"/>
          <w:lang w:val="en-GB" w:eastAsia="en-GB"/>
        </w:rPr>
      </w:pPr>
      <w:r w:rsidRPr="0053071F">
        <w:rPr>
          <w:rFonts w:ascii="Times New Roman" w:hAnsi="Times New Roman" w:cs="Times New Roman"/>
          <w:kern w:val="0"/>
          <w:sz w:val="24"/>
          <w:szCs w:val="24"/>
          <w:lang w:val="en-GB" w:eastAsia="en-GB"/>
        </w:rPr>
        <w:t>Bretherton, C. S., and S. Park, A new moist turbulence parameterization in the community</w:t>
      </w:r>
      <w:r>
        <w:rPr>
          <w:rFonts w:ascii="Times New Roman" w:hAnsi="Times New Roman" w:cs="Times New Roman" w:hint="eastAsia"/>
          <w:kern w:val="0"/>
          <w:sz w:val="24"/>
          <w:szCs w:val="24"/>
          <w:lang w:val="en-GB"/>
        </w:rPr>
        <w:t xml:space="preserve"> </w:t>
      </w:r>
      <w:r w:rsidRPr="0053071F">
        <w:rPr>
          <w:rFonts w:ascii="Times New Roman" w:hAnsi="Times New Roman" w:cs="Times New Roman"/>
          <w:kern w:val="0"/>
          <w:sz w:val="24"/>
          <w:szCs w:val="24"/>
          <w:lang w:val="en-GB" w:eastAsia="en-GB"/>
        </w:rPr>
        <w:t>atmosphere model, J. Climate, 22, 3422–3448, 2009a</w:t>
      </w:r>
      <w:r>
        <w:rPr>
          <w:rFonts w:ascii="Times New Roman" w:hAnsi="Times New Roman" w:cs="Times New Roman"/>
          <w:kern w:val="0"/>
          <w:sz w:val="24"/>
          <w:szCs w:val="24"/>
          <w:lang w:val="en-GB" w:eastAsia="en-GB"/>
        </w:rPr>
        <w:t>.</w:t>
      </w:r>
    </w:p>
    <w:p w14:paraId="0872CC2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Chan, S. C., E. J. Kendon, H. J. Fowler, S. Blenkinsop, C. A. T. Ferro, and D. B. Stephenson.: Does increasing the spatial resolution of a regional climate model improve the simulated daily precipitation? Clim. Dyn. 41, 1475–1495 , 2013.</w:t>
      </w:r>
    </w:p>
    <w:p w14:paraId="370FE09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Chao, W. C.: Correction of excessive precipitation over steep and high mountains in a GCM. J. Atmos. Sci., 69, 1547–1561 , 2012.</w:t>
      </w:r>
    </w:p>
    <w:p w14:paraId="772905E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Chen HM, Zhou TJ, Neale RB, Wu XQ, Zhang GJ.: Performance of the new NCAR CAM3.5 in East Asian summer monsoon simulations: sensitivity to modifications of the convection scheme . J. Clim. 23(13): 3657– 3675, 2010. </w:t>
      </w:r>
    </w:p>
    <w:p w14:paraId="7BD4FBE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Codron F &amp; Sadourny R.: Saturation limiters for water vapour advection schemes: impact on orographic precipitation. Tellus A 54(4):338–349 , 2002.</w:t>
      </w:r>
    </w:p>
    <w:p w14:paraId="34D0F715"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Cui T, Li C, Tian F.: Evaluation of temperature and precipitation simulations in CMIP6 models over the Tibetan Plateau. Earth and Space Science. 8(7): e2020EA001620 , 2021.</w:t>
      </w:r>
    </w:p>
    <w:p w14:paraId="4FA3A796"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Dennis, J., Edwards, K., Evans, J., Guba, O., Lauritzen, P. H., Mirin, A. A., St-Cyr, A., Taylor, M. A., &amp; Worley, P. H.: CAM-SE: A scalable spectral element dynamical core for the Community Atmosphere Model. International Journal of High Performance Computing Applications, 26(1), 74– 89. 2012.</w:t>
      </w:r>
    </w:p>
    <w:p w14:paraId="5460FFD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Done, J. M., L. R. Leung, C. A. Davis, and B. Kuo.: Regional climate simulation using the WRF model. Preprints, Fifth WRF/14th MM5 Users’ Workshop, Boulder, CO, National Center for Atmospheric Research, P8, 2004.</w:t>
      </w:r>
    </w:p>
    <w:p w14:paraId="284450A6"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Fonseca, R. M., Zhang, T., and Yong, K.T.: Improved simulation of precipitation in the tropics using a modified BMJ scheme in the WRF model, Geosci. Model Dev., 8, 2915–2928 , 2015.</w:t>
      </w:r>
    </w:p>
    <w:p w14:paraId="5FD6ACD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Gettelman A., and Coauthors.: Global simulations of ice nucleation and ice supersaturation with an improved cloud scheme in the community atmosphere model. J. Geophys. Res., 115, D18216 , 2010.</w:t>
      </w:r>
    </w:p>
    <w:p w14:paraId="45C5D9AD"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Hans, H., Bell, B., Berrisford, P., Hirahara, S., Horanyi, A., Munoz-Sabater, J., et al.: The ERA5 global reanalysis. Journal of the Meteorological Society of Japan, 146(730), 1999–2049. https://doi.org/10.1002/qj.3803, 2020.</w:t>
      </w:r>
    </w:p>
    <w:p w14:paraId="523C970A"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Huffman, G.J., D.T. Bolvin, E.J. Nelkin.: GPCP Precipitation Level 3 Monthly 0.5-Degree V3.0 Beta. Greenbelt, MD: NASA GES DISC, 2019. </w:t>
      </w:r>
    </w:p>
    <w:p w14:paraId="797B48A0"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Hurrell J W, Holland M M, Gent P R, et al.: The community earth system model: a framework for collaborative research. Bull Am Meteorol Soc 94:1339–1360 , 2013. </w:t>
      </w:r>
    </w:p>
    <w:p w14:paraId="099E14D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Jia K, Ruan Y, Yang Y, Zhang C.: Assessing the Performance of CMIP5 Global Climate Models for Simulating Future Precipitation Change in the Tibetan Plateau. Water. 11(9):1771, 2019. </w:t>
      </w:r>
    </w:p>
    <w:p w14:paraId="1092598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Kimoto, M., N. Yasutomi, C. Yokoyama, and S. Emori.: Projected changes in precipitation characteristics around Japan under the global warming. SOLA, 1, 85–88 , 2005.</w:t>
      </w:r>
    </w:p>
    <w:p w14:paraId="5981F061"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Kunz, M., and C. Kottmeier.: Orographic enhancement of precipitation over low mountain ranges. Part II: Simulations of heavy precipitation events over Southwest Germany, J. Appl. Meteorol. Climatol., 45, 1041–1055 , 2006.</w:t>
      </w:r>
    </w:p>
    <w:p w14:paraId="68EF8CA2"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Liang Y, Yang B, Wang M, et al.: Multiscale simulation of precipitation over East Asia by variable resolution CAM-MPAS. Journal of Advances in Modeling Earth Systems, 13(11): e2021MS002656, 2021.</w:t>
      </w:r>
    </w:p>
    <w:p w14:paraId="48F3030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Li, G., Chen, H., Xu, M. et al.: Impacts of Topographic Complexity on Modeling Moisture Transport and Precipitation over the Tibetan Plateau in Summer. Adv. Atmos. Sci. 39, 1151–1166 , 2022. </w:t>
      </w:r>
    </w:p>
    <w:p w14:paraId="2DC938F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Lin C, Chen D, Yang K, et al.: Impact of model resolution on simulating the water vapor transport through the central Himalayas: implication for models’ wet bias over the Tibetan Plateau. Clim. Dyn. 51(9): 3195-3207, 2018.</w:t>
      </w:r>
    </w:p>
    <w:p w14:paraId="4290144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Liu Z, Mehran A, Phillips T J, et al.: Seasonal and regional biases in CMIP5 precipitation simulations. Clim. Res. 60(1): 35-50, 2014.</w:t>
      </w:r>
    </w:p>
    <w:p w14:paraId="2C675491"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Mlawer EJ, Taubman SJ, Brown PD, Iacono MJ, Clough SA.: Radiative transfer for inhomogeneous atmospheres: RRTM, a validated correlated-k model for the longwave. J Geophys Res 102(D14):16,663–16, 1997.</w:t>
      </w:r>
    </w:p>
    <w:p w14:paraId="132417E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Morrison, H., and A. Gettelman.: A new two-moment bulk stratiform cloud microphysics scheme in the NCAR Community Atmosphere Model (CAM3). Part I: Description and numerical tests. J. Climate, 21, 3642–3659, 2008.</w:t>
      </w:r>
    </w:p>
    <w:p w14:paraId="6AB652A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Navale A, Singh C.: Topographic sensitivity of WRF-simulated rainfall patterns over the North West Himalayan region. Atmos Res 242:105003, 2020.</w:t>
      </w:r>
    </w:p>
    <w:p w14:paraId="6F8DF163"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Neale RB, Chen C, Gettelman A, Lauritzen PH, Park S, Williamson DL, Conley AJ, Carcia R, Kinnison D, Lamarque J, Marsh D, Mills M, Smith AK, Tilmes S, Morrison H, Cameron-Smith P, Collins WD, Iacono MJ, Easter RC, Ghan SJ, Liu X, Rasch PJ, Tayloy MA.: Description of the NCAR community atmosphere model (CAM 5.0). NCAR tech note TN-486 , 2010.</w:t>
      </w:r>
    </w:p>
    <w:p w14:paraId="3372548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Park S and Bretherton CS.: The University of Washington Shallow Convection and Moist Turbulence Schemes and Their Impact on Climate Simulations with the Community Atmosphere Model, J. Clim. 22, 3449–3469, 2009.</w:t>
      </w:r>
    </w:p>
    <w:p w14:paraId="4422B383"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Rahimi, S. R., C. L. Wu, X. H. Liu, and H. Brown.: Exploring a variable-resolution approach for simulating regional climate over the Tibetan Plateau using VR-CESM. J. Geophys. Res., 124, 4490–4513, 2019.</w:t>
      </w:r>
    </w:p>
    <w:p w14:paraId="024D7FF6"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Richter JH, Rasch PJ.: Effects of convective momentum transport on the atmospheric circulation in the community atmosphere model, version 3. J. Clim. 21(7):1487–1499 , 2008.</w:t>
      </w:r>
    </w:p>
    <w:p w14:paraId="7232ABE6"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Roe, G. H.: Orographic precipitation, Annu. Rev. Earth Planet. Sci., 33, 645– 671, 2005.</w:t>
      </w:r>
    </w:p>
    <w:p w14:paraId="1CF984DB"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Sandu, I., P. Bechtold, A. Beljaars, A. Bozzo, F. Pithan, T. G. Shepherd, and A. Zadra.: Impacts of parameterized orographic drag on the Northern Hemisphere winter circulation. Journal of Advances in Modeling Earth Systems, 8, 196–211, 2016.</w:t>
      </w:r>
    </w:p>
    <w:p w14:paraId="2B6A7823"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Shen S, Xiao H, Yang H, et al.: Variations of water vapor transport and water vapor-hydrometeor-precipitation conversions during a heavy rainfall event in the Three-River-Headwater region of the Tibetan Plateau. Atmospheric Research. 264: 105874 , 2021.</w:t>
      </w:r>
    </w:p>
    <w:p w14:paraId="2E8FA17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Shen Y, Zhang Y, Qian Y.: A Parameterization Scheme for the Dynamic Effects of Subgrid Topography and Its Impacts on Rainfall Simulation. Plateau Meteorology. 26(4): 655-665 (in Chinese, 2007).</w:t>
      </w:r>
    </w:p>
    <w:p w14:paraId="57334340"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 xml:space="preserve">Smith, R. B.: 100 Years of progress on mountain meteorology research. A Century of Progress in Atmospheric and Related Sciences: Celebrating the American Meteorological Society Centennial, Meteor. Monogr., No. 59, Amer. Meteor. Soc., </w:t>
      </w:r>
      <w:hyperlink r:id="rId11" w:history="1">
        <w:r>
          <w:rPr>
            <w:rFonts w:ascii="Times New Roman" w:hAnsi="Times New Roman" w:cs="Times New Roman"/>
            <w:kern w:val="0"/>
            <w:sz w:val="24"/>
            <w:szCs w:val="24"/>
            <w:lang w:val="en-GB" w:eastAsia="en-GB"/>
          </w:rPr>
          <w:t>https://doi.org/10.1175/AMSMONOGRAPHS-D-18-0022.1</w:t>
        </w:r>
      </w:hyperlink>
      <w:r>
        <w:rPr>
          <w:rFonts w:ascii="Times New Roman" w:hAnsi="Times New Roman" w:cs="Times New Roman"/>
          <w:kern w:val="0"/>
          <w:sz w:val="24"/>
          <w:szCs w:val="24"/>
          <w:lang w:val="en-GB" w:eastAsia="en-GB"/>
        </w:rPr>
        <w:t>, 2019.</w:t>
      </w:r>
    </w:p>
    <w:p w14:paraId="64A7DE57"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Stone, D., Risser, M. D., Angelil, O., Wehner, M., Cholia, S., Keen, N., Krishnan, H., Obrien, T. A., and Collins, W. D.: A basis set for exploration of sensitivity to prescribed ocean conditions for estimating human contributions to extreme weather in CAM5.1–1degree, Weather Clim. Extremes, 19, 10–19, 2018.</w:t>
      </w:r>
    </w:p>
    <w:p w14:paraId="1709A59F"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Su F, Duan X, Chen D, Hao Z, Cuo L.: Evaluation of the global climate models in the CMIP5 over the Tibetan Plateau. J. Clim. 26: 3187–3208, 2013.</w:t>
      </w:r>
    </w:p>
    <w:p w14:paraId="68237B75"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Tao, S. Y., and L. X. Chen.: A review of recent research on the East Asian summer monsoon in China. Monsoon Meteorology, C. P. Chang and T. N. Krishnamurti, Eds., Oxford University Press, 60–92, 1987.</w:t>
      </w:r>
    </w:p>
    <w:p w14:paraId="34442846"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Wang X., Pang G., Yang M.: Precipitation over the Tibetan Plateau during recent decades: a review based on observations and simulations. Int. J. Climatol, 38, pp. 1116-1131,2018.</w:t>
      </w:r>
    </w:p>
    <w:p w14:paraId="35C9C711"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Wang, Y. and Zhang, G. J.: Global climate impacts of stochastic deep convection parameterization in the NCAR CAM5, J. Adv. Model. Earth Sy., 8, 1641–1656, 2016.</w:t>
      </w:r>
    </w:p>
    <w:p w14:paraId="18E6B583"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Wang, Y., and Coauthors.: Synergy of orographic drag parameterization and high resolution greatly reduces biases of WRF-simulated precipitation in central Himalaya. Climate Dyn., 54, 1729–1740 , 2020.</w:t>
      </w:r>
    </w:p>
    <w:p w14:paraId="65CE305D"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Wang, Y., G. J. Zhang, and Y.-J. He.: Simulation of precipitation extremes using a stochastic convective parameterization in the NCAR CAM5 under different resolutions. J. Geophys. Res. Atmos., 122, 12 875–12 891 , 2017.</w:t>
      </w:r>
    </w:p>
    <w:p w14:paraId="32224E75"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Wang, Y., Wang, L., Feng, J. et al.: A statistical description method of global sub-grid topography for numerical models. Clim Dyn. https://doi.org/10.1007/s00382-022-06447-2,2022.</w:t>
      </w:r>
    </w:p>
    <w:p w14:paraId="69289CD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Yanai, M., and Wu G. X. Effects of the Tibetan Plateau. The Asian Monsoon, B. Wang, Ed., Springer, 513–549 , 2006.</w:t>
      </w:r>
    </w:p>
    <w:p w14:paraId="5615E91A"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Yu, R., Li, J., Zhang, Y. et al.: Improvement of rainfall simulation on the steep edge of the Tibetan Plateau by using a finite-difference transport scheme in CAM5. Clim Dyn 45, 2937–2948 , 2015.</w:t>
      </w:r>
    </w:p>
    <w:p w14:paraId="219C7419"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Zhang GJ, McFarlane NA.: Sensitivity of climate simulations to the parameterization of cumulus convection in the Canadian Climate Centre general circulation model. Atmos-Ocean 33(3):407–446,1995.</w:t>
      </w:r>
    </w:p>
    <w:p w14:paraId="0A1E9AE8" w14:textId="77777777" w:rsidR="00E76A53" w:rsidRDefault="00000000">
      <w:pPr>
        <w:widowControl/>
        <w:ind w:left="480" w:hangingChars="200" w:hanging="480"/>
        <w:rPr>
          <w:rFonts w:ascii="Times New Roman" w:hAnsi="Times New Roman" w:cs="Times New Roman"/>
          <w:kern w:val="0"/>
          <w:sz w:val="24"/>
          <w:szCs w:val="24"/>
          <w:lang w:val="en-GB" w:eastAsia="en-GB"/>
        </w:rPr>
      </w:pPr>
      <w:r>
        <w:rPr>
          <w:rFonts w:ascii="Times New Roman" w:hAnsi="Times New Roman" w:cs="Times New Roman"/>
          <w:kern w:val="0"/>
          <w:sz w:val="24"/>
          <w:szCs w:val="24"/>
          <w:lang w:val="en-GB" w:eastAsia="en-GB"/>
        </w:rPr>
        <w:t>Zhu YY and Yang S.: Evaluation of CMIP6 for historical temperature and precipitation over the Tibetan Plateau and its comparison with CMIP5. Advances in Climate Change Research. 11(3): 239-251, 2020.</w:t>
      </w:r>
    </w:p>
    <w:p w14:paraId="5329761F" w14:textId="77777777" w:rsidR="00E76A53" w:rsidRDefault="00E76A53">
      <w:pPr>
        <w:widowControl/>
        <w:jc w:val="left"/>
        <w:rPr>
          <w:rFonts w:ascii="Times New Roman" w:eastAsia="宋体" w:hAnsi="Times New Roman" w:cs="Times New Roman"/>
          <w:sz w:val="24"/>
          <w:szCs w:val="24"/>
        </w:rPr>
      </w:pPr>
    </w:p>
    <w:p w14:paraId="78A553CE" w14:textId="77777777" w:rsidR="00E76A53" w:rsidRDefault="00000000">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798D1026" w14:textId="77777777" w:rsidR="00E76A53" w:rsidRDefault="00000000">
      <w:pPr>
        <w:jc w:val="center"/>
        <w:rPr>
          <w:rFonts w:ascii="Times New Roman" w:eastAsia="宋体" w:hAnsi="Times New Roman" w:cs="Times New Roman"/>
          <w:b/>
          <w:bCs/>
          <w:sz w:val="24"/>
          <w:szCs w:val="24"/>
        </w:rPr>
      </w:pPr>
      <w:r>
        <w:rPr>
          <w:rFonts w:ascii="Times New Roman" w:eastAsia="宋体" w:hAnsi="Times New Roman" w:cs="Times New Roman"/>
          <w:b/>
          <w:bCs/>
          <w:noProof/>
          <w:sz w:val="24"/>
          <w:szCs w:val="24"/>
        </w:rPr>
        <w:drawing>
          <wp:inline distT="0" distB="0" distL="0" distR="0" wp14:anchorId="573D94B2" wp14:editId="707E5CC8">
            <wp:extent cx="5032375" cy="2625090"/>
            <wp:effectExtent l="0" t="0" r="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055567" cy="2637264"/>
                    </a:xfrm>
                    <a:prstGeom prst="rect">
                      <a:avLst/>
                    </a:prstGeom>
                  </pic:spPr>
                </pic:pic>
              </a:graphicData>
            </a:graphic>
          </wp:inline>
        </w:drawing>
      </w:r>
    </w:p>
    <w:p w14:paraId="33B18DFF" w14:textId="77777777" w:rsidR="00E76A53" w:rsidRDefault="00000000">
      <w:pPr>
        <w:rPr>
          <w:rFonts w:ascii="Times New Roman" w:eastAsia="宋体" w:hAnsi="Times New Roman" w:cs="Times New Roman"/>
          <w:sz w:val="24"/>
          <w:szCs w:val="24"/>
        </w:rPr>
      </w:pPr>
      <w:r>
        <w:rPr>
          <w:rFonts w:ascii="Times New Roman" w:eastAsia="宋体" w:hAnsi="Times New Roman" w:cs="Times New Roman"/>
          <w:b/>
          <w:bCs/>
          <w:sz w:val="24"/>
          <w:szCs w:val="24"/>
        </w:rPr>
        <w:t xml:space="preserve">Figure 1. </w:t>
      </w:r>
      <w:r>
        <w:rPr>
          <w:rFonts w:ascii="Times New Roman" w:eastAsia="宋体" w:hAnsi="Times New Roman" w:cs="Times New Roman"/>
          <w:sz w:val="24"/>
          <w:szCs w:val="24"/>
        </w:rPr>
        <w:t>(a) Distribution of surface topographic vertical velocity (Pa/s) at different slope and aspect in 10m/s wind speed; (b) the decreasing of the unit topographic vertical velocity with height at different grid scales.</w:t>
      </w:r>
    </w:p>
    <w:p w14:paraId="3DA143C8" w14:textId="77777777" w:rsidR="00E76A53" w:rsidRDefault="00000000">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6EB228D2" w14:textId="643450FA" w:rsidR="00E76A53" w:rsidRDefault="00B30AF0">
      <w:pPr>
        <w:ind w:left="-672" w:right="-682"/>
        <w:jc w:val="center"/>
      </w:pPr>
      <w:r>
        <w:rPr>
          <w:noProof/>
        </w:rPr>
        <w:drawing>
          <wp:inline distT="0" distB="0" distL="0" distR="0" wp14:anchorId="46137F28" wp14:editId="7501F06E">
            <wp:extent cx="3657198" cy="3101788"/>
            <wp:effectExtent l="0" t="0" r="635" b="3810"/>
            <wp:docPr id="4" name="图形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96DAC541-7B7A-43D3-8B79-37D633B846F1}">
                          <asvg:svgBlip xmlns:asvg="http://schemas.microsoft.com/office/drawing/2016/SVG/main" r:embed="rId14"/>
                        </a:ext>
                      </a:extLst>
                    </a:blip>
                    <a:srcRect t="7108" b="8078"/>
                    <a:stretch/>
                  </pic:blipFill>
                  <pic:spPr bwMode="auto">
                    <a:xfrm>
                      <a:off x="0" y="0"/>
                      <a:ext cx="3660362" cy="3104471"/>
                    </a:xfrm>
                    <a:prstGeom prst="rect">
                      <a:avLst/>
                    </a:prstGeom>
                    <a:ln>
                      <a:noFill/>
                    </a:ln>
                    <a:extLst>
                      <a:ext uri="{53640926-AAD7-44D8-BBD7-CCE9431645EC}">
                        <a14:shadowObscured xmlns:a14="http://schemas.microsoft.com/office/drawing/2010/main"/>
                      </a:ext>
                    </a:extLst>
                  </pic:spPr>
                </pic:pic>
              </a:graphicData>
            </a:graphic>
          </wp:inline>
        </w:drawing>
      </w:r>
    </w:p>
    <w:p w14:paraId="43D4DFF9" w14:textId="4717B20A" w:rsidR="00E76A53" w:rsidRDefault="00000000">
      <w:pPr>
        <w:rPr>
          <w:rFonts w:ascii="Times New Roman" w:eastAsia="宋体" w:hAnsi="Times New Roman" w:cs="Times New Roman"/>
          <w:sz w:val="24"/>
          <w:szCs w:val="24"/>
        </w:rPr>
      </w:pPr>
      <w:bookmarkStart w:id="19" w:name="_Hlk101709501"/>
      <w:r>
        <w:rPr>
          <w:rFonts w:ascii="Times New Roman" w:eastAsia="宋体" w:hAnsi="Times New Roman" w:cs="Times New Roman"/>
          <w:b/>
          <w:bCs/>
          <w:sz w:val="24"/>
          <w:szCs w:val="24"/>
        </w:rPr>
        <w:t xml:space="preserve">Figure 2. </w:t>
      </w:r>
      <w:bookmarkEnd w:id="19"/>
      <w:r w:rsidR="00EA1CCF" w:rsidRPr="00EA1CCF">
        <w:rPr>
          <w:rFonts w:ascii="Times New Roman" w:eastAsia="宋体" w:hAnsi="Times New Roman" w:cs="Times New Roman"/>
          <w:sz w:val="24"/>
          <w:szCs w:val="24"/>
        </w:rPr>
        <w:t xml:space="preserve">Spatial distributions of summer (June–August) average precipitation amount (mm day−1) from (a) the GPCP data and simulation in (b) Ctl, (c) Single and (d) Multi experiments. Vectors in Fig. </w:t>
      </w:r>
      <w:r w:rsidR="00EA1CCF">
        <w:rPr>
          <w:rFonts w:ascii="Times New Roman" w:eastAsia="宋体" w:hAnsi="Times New Roman" w:cs="Times New Roman"/>
          <w:sz w:val="24"/>
          <w:szCs w:val="24"/>
        </w:rPr>
        <w:t>2</w:t>
      </w:r>
      <w:r w:rsidR="00EA1CCF" w:rsidRPr="00EA1CCF">
        <w:rPr>
          <w:rFonts w:ascii="Times New Roman" w:eastAsia="宋体" w:hAnsi="Times New Roman" w:cs="Times New Roman"/>
          <w:sz w:val="24"/>
          <w:szCs w:val="24"/>
        </w:rPr>
        <w:t xml:space="preserve">a represent the summer wind at the lowest model level in ERA-Interim, vectors in Figs. </w:t>
      </w:r>
      <w:r w:rsidR="006D0C42">
        <w:rPr>
          <w:rFonts w:ascii="Times New Roman" w:eastAsia="宋体" w:hAnsi="Times New Roman" w:cs="Times New Roman"/>
          <w:sz w:val="24"/>
          <w:szCs w:val="24"/>
        </w:rPr>
        <w:t>2</w:t>
      </w:r>
      <w:r w:rsidR="00EA1CCF" w:rsidRPr="00EA1CCF">
        <w:rPr>
          <w:rFonts w:ascii="Times New Roman" w:eastAsia="宋体" w:hAnsi="Times New Roman" w:cs="Times New Roman"/>
          <w:sz w:val="24"/>
          <w:szCs w:val="24"/>
        </w:rPr>
        <w:t>b–d represent the summer wind simulation at the lowest model level, and the black contour indicate the altitude of 3000 m.</w:t>
      </w:r>
      <w:r>
        <w:rPr>
          <w:rFonts w:ascii="Times New Roman" w:eastAsia="宋体" w:hAnsi="Times New Roman" w:cs="Times New Roman"/>
          <w:sz w:val="24"/>
          <w:szCs w:val="24"/>
        </w:rPr>
        <w:t xml:space="preserve"> </w:t>
      </w:r>
      <w:r>
        <w:rPr>
          <w:rFonts w:ascii="Times New Roman" w:eastAsia="宋体" w:hAnsi="Times New Roman" w:cs="Times New Roman"/>
          <w:sz w:val="24"/>
          <w:szCs w:val="24"/>
        </w:rPr>
        <w:br w:type="page"/>
      </w:r>
    </w:p>
    <w:p w14:paraId="58A12BA5" w14:textId="77777777" w:rsidR="00E76A53" w:rsidRDefault="00000000">
      <w:pPr>
        <w:jc w:val="center"/>
      </w:pPr>
      <w:r>
        <w:rPr>
          <w:noProof/>
        </w:rPr>
        <w:drawing>
          <wp:inline distT="0" distB="0" distL="0" distR="0" wp14:anchorId="4BEEA956" wp14:editId="1DE322D5">
            <wp:extent cx="5274310" cy="2755900"/>
            <wp:effectExtent l="0" t="0" r="2540" b="635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5"/>
                    <a:stretch>
                      <a:fillRect/>
                    </a:stretch>
                  </pic:blipFill>
                  <pic:spPr>
                    <a:xfrm>
                      <a:off x="0" y="0"/>
                      <a:ext cx="5274310" cy="2755900"/>
                    </a:xfrm>
                    <a:prstGeom prst="rect">
                      <a:avLst/>
                    </a:prstGeom>
                  </pic:spPr>
                </pic:pic>
              </a:graphicData>
            </a:graphic>
          </wp:inline>
        </w:drawing>
      </w:r>
    </w:p>
    <w:p w14:paraId="3A145121" w14:textId="77777777" w:rsidR="00E76A53" w:rsidRDefault="00000000">
      <w:pPr>
        <w:rPr>
          <w:rFonts w:ascii="Times New Roman" w:eastAsia="宋体" w:hAnsi="Times New Roman" w:cs="Times New Roman"/>
          <w:sz w:val="24"/>
          <w:szCs w:val="24"/>
        </w:rPr>
      </w:pPr>
      <w:r>
        <w:rPr>
          <w:rFonts w:ascii="Times New Roman" w:eastAsia="宋体" w:hAnsi="Times New Roman" w:cs="Times New Roman"/>
          <w:b/>
          <w:bCs/>
          <w:sz w:val="24"/>
          <w:szCs w:val="24"/>
        </w:rPr>
        <w:t xml:space="preserve">Figure 3. </w:t>
      </w:r>
      <w:r>
        <w:rPr>
          <w:rFonts w:ascii="Times New Roman" w:eastAsia="宋体" w:hAnsi="Times New Roman" w:cs="Times New Roman"/>
          <w:sz w:val="24"/>
          <w:szCs w:val="24"/>
        </w:rPr>
        <w:t>Differences of summer average precipitation amount (mm day</w:t>
      </w:r>
      <w:r>
        <w:rPr>
          <w:rFonts w:ascii="Times New Roman" w:eastAsia="宋体" w:hAnsi="Times New Roman" w:cs="Times New Roman"/>
          <w:sz w:val="24"/>
          <w:szCs w:val="24"/>
          <w:vertAlign w:val="superscript"/>
        </w:rPr>
        <w:t>−1</w:t>
      </w:r>
      <w:r>
        <w:rPr>
          <w:rFonts w:ascii="Times New Roman" w:eastAsia="宋体" w:hAnsi="Times New Roman" w:cs="Times New Roman"/>
          <w:sz w:val="24"/>
          <w:szCs w:val="24"/>
        </w:rPr>
        <w:t>) (a) between Single and Ctl experiments, (b) between Multi and Ctl experiments and (c) between Ctl experiment and GPCP, improvement ratio of (d) Single experiment and (e) Multi experiment, (f)</w:t>
      </w:r>
      <w:r>
        <w:t xml:space="preserve"> </w:t>
      </w:r>
      <w:r>
        <w:rPr>
          <w:rFonts w:ascii="Times New Roman" w:eastAsia="宋体" w:hAnsi="Times New Roman" w:cs="Times New Roman"/>
          <w:sz w:val="24"/>
          <w:szCs w:val="24"/>
        </w:rPr>
        <w:t>divergence ratio of Ctl. Black contours indicate the altitudes of 500 m and 4000 m.</w:t>
      </w:r>
    </w:p>
    <w:p w14:paraId="38791FF4" w14:textId="77777777" w:rsidR="00E76A53" w:rsidRDefault="00000000">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19CB99A0" w14:textId="77777777" w:rsidR="00E76A53" w:rsidRDefault="00000000">
      <w:r>
        <w:rPr>
          <w:noProof/>
        </w:rPr>
        <w:drawing>
          <wp:inline distT="0" distB="0" distL="0" distR="0" wp14:anchorId="2DBC1002" wp14:editId="22BEF345">
            <wp:extent cx="5278120" cy="180149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6"/>
                    <a:stretch>
                      <a:fillRect/>
                    </a:stretch>
                  </pic:blipFill>
                  <pic:spPr>
                    <a:xfrm>
                      <a:off x="0" y="0"/>
                      <a:ext cx="5278120" cy="1801495"/>
                    </a:xfrm>
                    <a:prstGeom prst="rect">
                      <a:avLst/>
                    </a:prstGeom>
                  </pic:spPr>
                </pic:pic>
              </a:graphicData>
            </a:graphic>
          </wp:inline>
        </w:drawing>
      </w:r>
    </w:p>
    <w:p w14:paraId="32D15BA1" w14:textId="77777777" w:rsidR="00E76A53" w:rsidRDefault="00000000">
      <w:pPr>
        <w:rPr>
          <w:rFonts w:ascii="Times New Roman" w:eastAsia="宋体" w:hAnsi="Times New Roman" w:cs="Times New Roman"/>
          <w:sz w:val="24"/>
          <w:szCs w:val="24"/>
        </w:rPr>
      </w:pPr>
      <w:r>
        <w:rPr>
          <w:rFonts w:ascii="Times New Roman" w:eastAsia="宋体" w:hAnsi="Times New Roman" w:cs="Times New Roman"/>
          <w:b/>
          <w:bCs/>
          <w:sz w:val="24"/>
          <w:szCs w:val="24"/>
        </w:rPr>
        <w:t>Figure 4.</w:t>
      </w:r>
      <w:r>
        <w:rPr>
          <w:rFonts w:ascii="Times New Roman" w:eastAsia="宋体" w:hAnsi="Times New Roman" w:cs="Times New Roman"/>
          <w:sz w:val="24"/>
          <w:szCs w:val="24"/>
        </w:rPr>
        <w:t xml:space="preserve"> Summer precipitation averaged over (a) 22°N</w:t>
      </w:r>
      <w:r>
        <w:rPr>
          <w:rFonts w:ascii="Times New Roman" w:eastAsia="宋体" w:hAnsi="Times New Roman" w:cs="Times New Roman"/>
          <w:iCs/>
          <w:sz w:val="24"/>
          <w:szCs w:val="24"/>
        </w:rPr>
        <w:t>–</w:t>
      </w:r>
      <w:r>
        <w:rPr>
          <w:rFonts w:ascii="Times New Roman" w:eastAsia="宋体" w:hAnsi="Times New Roman" w:cs="Times New Roman"/>
          <w:sz w:val="24"/>
          <w:szCs w:val="24"/>
        </w:rPr>
        <w:t>25°N and (b) 87°E–95°E. Green, red, blue and black lines represent the simulated precipitation in the Ctl, Multi, Single experiments and from the GPCP data, respectively. The grey dotted lines indicate the altitudes (km).</w:t>
      </w:r>
    </w:p>
    <w:p w14:paraId="24B4F46D" w14:textId="77777777" w:rsidR="00E76A53" w:rsidRDefault="00E76A53"/>
    <w:p w14:paraId="6A170053" w14:textId="77229310" w:rsidR="00E76A53" w:rsidRPr="0065647C" w:rsidRDefault="00000000">
      <w:pPr>
        <w:widowControl/>
        <w:jc w:val="left"/>
      </w:pPr>
      <w:r>
        <w:br w:type="page"/>
      </w:r>
    </w:p>
    <w:p w14:paraId="0F745CE0" w14:textId="63E99A94" w:rsidR="00E76A53" w:rsidRDefault="00B30AF0" w:rsidP="00B30AF0">
      <w:r w:rsidRPr="000E0ED5">
        <w:rPr>
          <w:rFonts w:hint="eastAsia"/>
          <w:noProof/>
        </w:rPr>
        <w:drawing>
          <wp:inline distT="0" distB="0" distL="0" distR="0" wp14:anchorId="13DBF93C" wp14:editId="78F521A0">
            <wp:extent cx="5274310" cy="527431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a:ln>
                      <a:noFill/>
                    </a:ln>
                  </pic:spPr>
                </pic:pic>
              </a:graphicData>
            </a:graphic>
          </wp:inline>
        </w:drawing>
      </w:r>
    </w:p>
    <w:p w14:paraId="7E1BC65A" w14:textId="54CCC101" w:rsidR="00E76A53" w:rsidRDefault="00000000">
      <w:pPr>
        <w:rPr>
          <w:rFonts w:ascii="Times New Roman" w:eastAsia="宋体" w:hAnsi="Times New Roman" w:cs="Times New Roman"/>
          <w:b/>
          <w:bCs/>
          <w:sz w:val="24"/>
          <w:szCs w:val="24"/>
        </w:rPr>
      </w:pPr>
      <w:r>
        <w:rPr>
          <w:rFonts w:ascii="Times New Roman" w:eastAsia="宋体" w:hAnsi="Times New Roman" w:cs="Times New Roman"/>
          <w:b/>
          <w:bCs/>
          <w:sz w:val="24"/>
          <w:szCs w:val="24"/>
        </w:rPr>
        <w:t xml:space="preserve">Figure </w:t>
      </w:r>
      <w:r w:rsidR="0065647C">
        <w:rPr>
          <w:rFonts w:ascii="Times New Roman" w:eastAsia="宋体" w:hAnsi="Times New Roman" w:cs="Times New Roman"/>
          <w:b/>
          <w:bCs/>
          <w:sz w:val="24"/>
          <w:szCs w:val="24"/>
        </w:rPr>
        <w:t>5</w:t>
      </w:r>
      <w:r>
        <w:rPr>
          <w:rFonts w:ascii="Times New Roman" w:eastAsia="宋体" w:hAnsi="Times New Roman" w:cs="Times New Roman"/>
          <w:b/>
          <w:bCs/>
          <w:sz w:val="24"/>
          <w:szCs w:val="24"/>
        </w:rPr>
        <w:t>.</w:t>
      </w:r>
      <w:r>
        <w:rPr>
          <w:rFonts w:ascii="Times New Roman" w:eastAsia="宋体" w:hAnsi="Times New Roman" w:cs="Times New Roman"/>
          <w:sz w:val="24"/>
          <w:szCs w:val="24"/>
        </w:rPr>
        <w:t xml:space="preserve"> Difference of (a) convective precipitation, (b) large-scale precipitation, (c) shallow convection precipitation, (d) precipitation from ZM convection between Single and Ctl experiments. (e-h) As in (a-d) but between Multi and Ctl experiments. Black contours indicate the altitudes of 500 m and 4000 m</w:t>
      </w:r>
      <w:r w:rsidR="00B30AF0">
        <w:rPr>
          <w:rFonts w:ascii="Times New Roman" w:eastAsia="宋体" w:hAnsi="Times New Roman" w:cs="Times New Roman"/>
          <w:sz w:val="24"/>
          <w:szCs w:val="24"/>
        </w:rPr>
        <w:t xml:space="preserve">. </w:t>
      </w:r>
      <w:r w:rsidR="00B30AF0" w:rsidRPr="00B30AF0">
        <w:rPr>
          <w:rFonts w:ascii="Times New Roman" w:eastAsia="宋体" w:hAnsi="Times New Roman" w:cs="Times New Roman"/>
          <w:sz w:val="24"/>
          <w:szCs w:val="24"/>
        </w:rPr>
        <w:t>Dotted areas are statistically significant at the 90% confidence level</w:t>
      </w:r>
      <w:r>
        <w:rPr>
          <w:rFonts w:ascii="Times New Roman" w:eastAsia="宋体" w:hAnsi="Times New Roman" w:cs="Times New Roman"/>
          <w:b/>
          <w:bCs/>
          <w:sz w:val="24"/>
          <w:szCs w:val="24"/>
        </w:rPr>
        <w:t xml:space="preserve"> </w:t>
      </w:r>
      <w:r>
        <w:rPr>
          <w:rFonts w:ascii="Times New Roman" w:eastAsia="宋体" w:hAnsi="Times New Roman" w:cs="Times New Roman"/>
          <w:b/>
          <w:bCs/>
          <w:sz w:val="24"/>
          <w:szCs w:val="24"/>
        </w:rPr>
        <w:br w:type="page"/>
      </w:r>
    </w:p>
    <w:p w14:paraId="0A9567C1" w14:textId="24C46A6A" w:rsidR="00E76A53" w:rsidRDefault="00B30AF0">
      <w:pPr>
        <w:jc w:val="center"/>
      </w:pPr>
      <w:r>
        <w:rPr>
          <w:rFonts w:ascii="Times New Roman" w:hAnsi="Times New Roman" w:cs="Times New Roman"/>
          <w:noProof/>
          <w:color w:val="464646"/>
          <w:sz w:val="28"/>
          <w:szCs w:val="28"/>
        </w:rPr>
        <w:drawing>
          <wp:inline distT="0" distB="0" distL="0" distR="0" wp14:anchorId="1E33234D" wp14:editId="2ADDFCB1">
            <wp:extent cx="2995246" cy="354958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3832" cy="3559763"/>
                    </a:xfrm>
                    <a:prstGeom prst="rect">
                      <a:avLst/>
                    </a:prstGeom>
                    <a:noFill/>
                  </pic:spPr>
                </pic:pic>
              </a:graphicData>
            </a:graphic>
          </wp:inline>
        </w:drawing>
      </w:r>
    </w:p>
    <w:p w14:paraId="20BA10BC" w14:textId="475EDAF9" w:rsidR="00E76A53" w:rsidRDefault="00000000">
      <w:pPr>
        <w:rPr>
          <w:rFonts w:ascii="Times New Roman" w:eastAsia="宋体" w:hAnsi="Times New Roman" w:cs="Times New Roman"/>
          <w:b/>
          <w:bCs/>
          <w:sz w:val="24"/>
          <w:szCs w:val="24"/>
        </w:rPr>
      </w:pPr>
      <w:r>
        <w:rPr>
          <w:rFonts w:ascii="Times New Roman" w:eastAsia="宋体" w:hAnsi="Times New Roman" w:cs="Times New Roman"/>
          <w:b/>
          <w:bCs/>
          <w:sz w:val="24"/>
          <w:szCs w:val="24"/>
        </w:rPr>
        <w:t xml:space="preserve">Figure </w:t>
      </w:r>
      <w:r w:rsidR="0065647C">
        <w:rPr>
          <w:rFonts w:ascii="Times New Roman" w:eastAsia="宋体" w:hAnsi="Times New Roman" w:cs="Times New Roman"/>
          <w:b/>
          <w:bCs/>
          <w:sz w:val="24"/>
          <w:szCs w:val="24"/>
        </w:rPr>
        <w:t>6</w:t>
      </w:r>
      <w:r>
        <w:rPr>
          <w:rFonts w:ascii="Times New Roman" w:eastAsia="宋体" w:hAnsi="Times New Roman" w:cs="Times New Roman"/>
          <w:b/>
          <w:bCs/>
          <w:sz w:val="24"/>
          <w:szCs w:val="24"/>
        </w:rPr>
        <w:t xml:space="preserve">. </w:t>
      </w:r>
      <w:r>
        <w:rPr>
          <w:rFonts w:ascii="Times New Roman" w:eastAsia="宋体" w:hAnsi="Times New Roman" w:cs="Times New Roman"/>
          <w:sz w:val="24"/>
          <w:szCs w:val="24"/>
        </w:rPr>
        <w:t>Difference of the precipitation types between the sensitivity and control experiments. (a) Positive deviations of precipitation simulations over the region with altitudes within 500–4000 m and (b) negative deviations</w:t>
      </w:r>
      <w:r>
        <w:t xml:space="preserve"> </w:t>
      </w:r>
      <w:r>
        <w:rPr>
          <w:rFonts w:ascii="Times New Roman" w:eastAsia="宋体" w:hAnsi="Times New Roman" w:cs="Times New Roman"/>
          <w:sz w:val="24"/>
          <w:szCs w:val="24"/>
        </w:rPr>
        <w:t>of precipitation simulations over the region below 500 m.</w:t>
      </w:r>
    </w:p>
    <w:p w14:paraId="0DEF4378" w14:textId="7CB0A026" w:rsidR="00E76A53" w:rsidRDefault="00000000" w:rsidP="00B30AF0">
      <w:pPr>
        <w:widowControl/>
        <w:jc w:val="left"/>
      </w:pPr>
      <w:r>
        <w:br w:type="page"/>
      </w:r>
    </w:p>
    <w:p w14:paraId="05960308" w14:textId="77777777" w:rsidR="003446B9" w:rsidRDefault="003446B9" w:rsidP="003446B9">
      <w:r>
        <w:rPr>
          <w:noProof/>
        </w:rPr>
        <w:drawing>
          <wp:inline distT="0" distB="0" distL="0" distR="0" wp14:anchorId="5DD89AF4" wp14:editId="59BD7CEC">
            <wp:extent cx="5274310" cy="343662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5274310" cy="3436620"/>
                    </a:xfrm>
                    <a:prstGeom prst="rect">
                      <a:avLst/>
                    </a:prstGeom>
                  </pic:spPr>
                </pic:pic>
              </a:graphicData>
            </a:graphic>
          </wp:inline>
        </w:drawing>
      </w:r>
    </w:p>
    <w:p w14:paraId="66FEF3B7" w14:textId="38090800" w:rsidR="003446B9" w:rsidRDefault="003446B9" w:rsidP="003446B9">
      <w:pPr>
        <w:rPr>
          <w:rFonts w:ascii="Times New Roman" w:eastAsia="宋体" w:hAnsi="Times New Roman" w:cs="Times New Roman"/>
          <w:sz w:val="24"/>
          <w:szCs w:val="24"/>
        </w:rPr>
      </w:pPr>
      <w:r>
        <w:rPr>
          <w:rFonts w:ascii="Times New Roman" w:eastAsia="宋体" w:hAnsi="Times New Roman" w:cs="Times New Roman"/>
          <w:b/>
          <w:bCs/>
          <w:sz w:val="24"/>
          <w:szCs w:val="24"/>
        </w:rPr>
        <w:t xml:space="preserve">Figure 7. </w:t>
      </w:r>
      <w:bookmarkStart w:id="20" w:name="_Hlk112701166"/>
      <w:r>
        <w:rPr>
          <w:rFonts w:ascii="Times New Roman" w:eastAsia="宋体" w:hAnsi="Times New Roman" w:cs="Times New Roman"/>
          <w:sz w:val="24"/>
          <w:szCs w:val="24"/>
        </w:rPr>
        <w:t>Meridional-vertical</w:t>
      </w:r>
      <w:bookmarkEnd w:id="20"/>
      <w:r>
        <w:rPr>
          <w:rFonts w:ascii="Times New Roman" w:eastAsia="宋体" w:hAnsi="Times New Roman" w:cs="Times New Roman"/>
          <w:sz w:val="24"/>
          <w:szCs w:val="24"/>
        </w:rPr>
        <w:t xml:space="preserve"> circulation (vectors) and vertical velocity (shading) averaged over 87°E</w:t>
      </w:r>
      <w:r>
        <w:rPr>
          <w:rFonts w:ascii="Times New Roman" w:eastAsia="宋体" w:hAnsi="Times New Roman" w:cs="Times New Roman"/>
          <w:iCs/>
          <w:sz w:val="24"/>
          <w:szCs w:val="24"/>
        </w:rPr>
        <w:t>–</w:t>
      </w:r>
      <w:r>
        <w:rPr>
          <w:rFonts w:ascii="Times New Roman" w:eastAsia="宋体" w:hAnsi="Times New Roman" w:cs="Times New Roman"/>
          <w:sz w:val="24"/>
          <w:szCs w:val="24"/>
        </w:rPr>
        <w:t>95°E in (a) Single, (b) Multi and (c) Ctl experiments, and their differences (d) between the Single and Ctl</w:t>
      </w:r>
      <w:r>
        <w:t xml:space="preserve"> </w:t>
      </w:r>
      <w:r>
        <w:rPr>
          <w:rFonts w:ascii="Times New Roman" w:eastAsia="宋体" w:hAnsi="Times New Roman" w:cs="Times New Roman"/>
          <w:sz w:val="24"/>
          <w:szCs w:val="24"/>
        </w:rPr>
        <w:t xml:space="preserve">experiments and (e) between the Multi and Ctl experiments. </w:t>
      </w:r>
    </w:p>
    <w:p w14:paraId="1EFCC3EC" w14:textId="04F255D5" w:rsidR="003446B9" w:rsidRPr="003446B9" w:rsidRDefault="003446B9" w:rsidP="00B30AF0">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2EFC192D" w14:textId="33179B5F" w:rsidR="00E76A53" w:rsidRDefault="00B30AF0">
      <w:pPr>
        <w:ind w:left="-672" w:right="-682"/>
        <w:jc w:val="center"/>
      </w:pPr>
      <w:r>
        <w:rPr>
          <w:noProof/>
        </w:rPr>
        <w:drawing>
          <wp:inline distT="0" distB="0" distL="0" distR="0" wp14:anchorId="2BB04BA7" wp14:editId="25530BBA">
            <wp:extent cx="3585882" cy="2846342"/>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91966" cy="2851171"/>
                    </a:xfrm>
                    <a:prstGeom prst="rect">
                      <a:avLst/>
                    </a:prstGeom>
                  </pic:spPr>
                </pic:pic>
              </a:graphicData>
            </a:graphic>
          </wp:inline>
        </w:drawing>
      </w:r>
    </w:p>
    <w:p w14:paraId="185EB13C" w14:textId="0A0343CE" w:rsidR="00E76A53" w:rsidRDefault="00000000">
      <w:pPr>
        <w:rPr>
          <w:rFonts w:ascii="Times New Roman" w:eastAsia="宋体" w:hAnsi="Times New Roman" w:cs="Times New Roman"/>
          <w:b/>
          <w:bCs/>
          <w:sz w:val="24"/>
          <w:szCs w:val="24"/>
        </w:rPr>
      </w:pPr>
      <w:r>
        <w:rPr>
          <w:rFonts w:ascii="Times New Roman" w:eastAsia="宋体" w:hAnsi="Times New Roman" w:cs="Times New Roman"/>
          <w:b/>
          <w:bCs/>
          <w:sz w:val="24"/>
          <w:szCs w:val="24"/>
        </w:rPr>
        <w:t xml:space="preserve">Figure </w:t>
      </w:r>
      <w:r w:rsidR="003446B9">
        <w:rPr>
          <w:rFonts w:ascii="Times New Roman" w:eastAsia="宋体" w:hAnsi="Times New Roman" w:cs="Times New Roman"/>
          <w:b/>
          <w:bCs/>
          <w:sz w:val="24"/>
          <w:szCs w:val="24"/>
        </w:rPr>
        <w:t>8</w:t>
      </w:r>
      <w:r>
        <w:rPr>
          <w:rFonts w:ascii="Times New Roman" w:eastAsia="宋体" w:hAnsi="Times New Roman" w:cs="Times New Roman"/>
          <w:b/>
          <w:bCs/>
          <w:sz w:val="24"/>
          <w:szCs w:val="24"/>
        </w:rPr>
        <w:t xml:space="preserve">. </w:t>
      </w:r>
      <w:r w:rsidR="00B30AF0" w:rsidRPr="00B30AF0">
        <w:rPr>
          <w:rFonts w:ascii="Times New Roman" w:eastAsia="宋体" w:hAnsi="Times New Roman" w:cs="Times New Roman"/>
          <w:bCs/>
          <w:sz w:val="24"/>
          <w:szCs w:val="24"/>
        </w:rPr>
        <w:t>Difference of (a–b) total precipitable water (kg m</w:t>
      </w:r>
      <w:r w:rsidR="00B30AF0" w:rsidRPr="00C21E35">
        <w:rPr>
          <w:rFonts w:ascii="Times New Roman" w:eastAsia="宋体" w:hAnsi="Times New Roman" w:cs="Times New Roman"/>
          <w:bCs/>
          <w:sz w:val="24"/>
          <w:szCs w:val="24"/>
          <w:vertAlign w:val="superscript"/>
        </w:rPr>
        <w:t>−2</w:t>
      </w:r>
      <w:r w:rsidR="00B30AF0" w:rsidRPr="00B30AF0">
        <w:rPr>
          <w:rFonts w:ascii="Times New Roman" w:eastAsia="宋体" w:hAnsi="Times New Roman" w:cs="Times New Roman"/>
          <w:bCs/>
          <w:sz w:val="24"/>
          <w:szCs w:val="24"/>
        </w:rPr>
        <w:t>) and (c–d) 10-m wind speed (m s</w:t>
      </w:r>
      <w:r w:rsidR="00B30AF0" w:rsidRPr="00C21E35">
        <w:rPr>
          <w:rFonts w:ascii="Times New Roman" w:eastAsia="宋体" w:hAnsi="Times New Roman" w:cs="Times New Roman"/>
          <w:bCs/>
          <w:sz w:val="24"/>
          <w:szCs w:val="24"/>
          <w:vertAlign w:val="superscript"/>
        </w:rPr>
        <w:t>−1</w:t>
      </w:r>
      <w:r w:rsidR="00B30AF0" w:rsidRPr="00B30AF0">
        <w:rPr>
          <w:rFonts w:ascii="Times New Roman" w:eastAsia="宋体" w:hAnsi="Times New Roman" w:cs="Times New Roman"/>
          <w:bCs/>
          <w:sz w:val="24"/>
          <w:szCs w:val="24"/>
        </w:rPr>
        <w:t>) between Single, Multi and Ctl experiments. Dotted areas are statistically significant at the 90% confidence level</w:t>
      </w:r>
      <w:r>
        <w:rPr>
          <w:rFonts w:ascii="Times New Roman" w:eastAsia="宋体" w:hAnsi="Times New Roman" w:cs="Times New Roman"/>
          <w:sz w:val="24"/>
          <w:szCs w:val="24"/>
        </w:rPr>
        <w:t xml:space="preserve">. </w:t>
      </w:r>
    </w:p>
    <w:p w14:paraId="588EBE1A" w14:textId="178A650C" w:rsidR="00536D00" w:rsidRPr="00536D00" w:rsidRDefault="00000000">
      <w:pPr>
        <w:widowControl/>
        <w:jc w:val="left"/>
      </w:pPr>
      <w:r>
        <w:br w:type="page"/>
      </w:r>
    </w:p>
    <w:p w14:paraId="47B14DA8" w14:textId="77777777" w:rsidR="00E76A53" w:rsidRDefault="00000000">
      <w:pPr>
        <w:jc w:val="center"/>
      </w:pPr>
      <w:r>
        <w:rPr>
          <w:noProof/>
        </w:rPr>
        <w:drawing>
          <wp:inline distT="0" distB="0" distL="0" distR="0" wp14:anchorId="2BF6AC8F" wp14:editId="3146C331">
            <wp:extent cx="5274310" cy="4190365"/>
            <wp:effectExtent l="0" t="0" r="254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a:stretch>
                      <a:fillRect/>
                    </a:stretch>
                  </pic:blipFill>
                  <pic:spPr>
                    <a:xfrm>
                      <a:off x="0" y="0"/>
                      <a:ext cx="5274310" cy="4190365"/>
                    </a:xfrm>
                    <a:prstGeom prst="rect">
                      <a:avLst/>
                    </a:prstGeom>
                  </pic:spPr>
                </pic:pic>
              </a:graphicData>
            </a:graphic>
          </wp:inline>
        </w:drawing>
      </w:r>
    </w:p>
    <w:p w14:paraId="77FD087C" w14:textId="691B72E7" w:rsidR="00E76A53" w:rsidRDefault="00000000">
      <w:pPr>
        <w:rPr>
          <w:rFonts w:ascii="Times New Roman" w:eastAsia="宋体" w:hAnsi="Times New Roman" w:cs="Times New Roman"/>
          <w:sz w:val="24"/>
          <w:szCs w:val="24"/>
        </w:rPr>
      </w:pPr>
      <w:r>
        <w:rPr>
          <w:rFonts w:ascii="Times New Roman" w:eastAsia="宋体" w:hAnsi="Times New Roman" w:cs="Times New Roman"/>
          <w:b/>
          <w:bCs/>
          <w:sz w:val="24"/>
          <w:szCs w:val="24"/>
        </w:rPr>
        <w:t xml:space="preserve">Figure </w:t>
      </w:r>
      <w:r w:rsidR="003446B9">
        <w:rPr>
          <w:rFonts w:ascii="Times New Roman" w:eastAsia="宋体" w:hAnsi="Times New Roman" w:cs="Times New Roman"/>
          <w:b/>
          <w:bCs/>
          <w:sz w:val="24"/>
          <w:szCs w:val="24"/>
        </w:rPr>
        <w:t>9</w:t>
      </w:r>
      <w:r>
        <w:rPr>
          <w:rFonts w:ascii="Times New Roman" w:eastAsia="宋体" w:hAnsi="Times New Roman" w:cs="Times New Roman"/>
          <w:b/>
          <w:bCs/>
          <w:sz w:val="24"/>
          <w:szCs w:val="24"/>
        </w:rPr>
        <w:t xml:space="preserve">. </w:t>
      </w:r>
      <w:r>
        <w:rPr>
          <w:rFonts w:ascii="Times New Roman" w:eastAsia="宋体" w:hAnsi="Times New Roman" w:cs="Times New Roman"/>
          <w:sz w:val="24"/>
          <w:szCs w:val="24"/>
        </w:rPr>
        <w:t>Distribution of the composite whole-layer water vapor flux (from the lowest model level to the seventh model level) in the (a) Single, (b) Multi, (c) Ctl experiments and (d) ERA5 over East Asia.</w:t>
      </w:r>
      <w:r>
        <w:t xml:space="preserve"> </w:t>
      </w:r>
      <w:r>
        <w:rPr>
          <w:rFonts w:ascii="Times New Roman" w:eastAsia="宋体" w:hAnsi="Times New Roman" w:cs="Times New Roman"/>
          <w:sz w:val="24"/>
          <w:szCs w:val="24"/>
        </w:rPr>
        <w:t>Black contours indicate the altitudes of 3000 m.</w:t>
      </w:r>
    </w:p>
    <w:p w14:paraId="0873CDC4" w14:textId="69393607" w:rsidR="00536D00" w:rsidRPr="00536D00" w:rsidRDefault="00536D00" w:rsidP="003446B9">
      <w:pPr>
        <w:widowControl/>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2063A778" w14:textId="77777777" w:rsidR="00E76A53" w:rsidRDefault="00000000">
      <w:pPr>
        <w:jc w:val="center"/>
      </w:pPr>
      <w:r>
        <w:rPr>
          <w:noProof/>
        </w:rPr>
        <w:drawing>
          <wp:inline distT="0" distB="0" distL="0" distR="0" wp14:anchorId="02BAEF18" wp14:editId="58731959">
            <wp:extent cx="5274310" cy="3236595"/>
            <wp:effectExtent l="0" t="0" r="254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2"/>
                    <a:stretch>
                      <a:fillRect/>
                    </a:stretch>
                  </pic:blipFill>
                  <pic:spPr>
                    <a:xfrm>
                      <a:off x="0" y="0"/>
                      <a:ext cx="5274310" cy="3236595"/>
                    </a:xfrm>
                    <a:prstGeom prst="rect">
                      <a:avLst/>
                    </a:prstGeom>
                  </pic:spPr>
                </pic:pic>
              </a:graphicData>
            </a:graphic>
          </wp:inline>
        </w:drawing>
      </w:r>
    </w:p>
    <w:p w14:paraId="2A1C5A25" w14:textId="750FFA32" w:rsidR="00E76A53" w:rsidRDefault="00000000">
      <w:pPr>
        <w:rPr>
          <w:rFonts w:ascii="Times New Roman" w:eastAsia="宋体" w:hAnsi="Times New Roman" w:cs="Times New Roman"/>
          <w:sz w:val="24"/>
          <w:szCs w:val="24"/>
        </w:rPr>
      </w:pPr>
      <w:r>
        <w:rPr>
          <w:rFonts w:ascii="Times New Roman" w:eastAsia="宋体" w:hAnsi="Times New Roman" w:cs="Times New Roman"/>
          <w:b/>
          <w:bCs/>
          <w:sz w:val="24"/>
          <w:szCs w:val="24"/>
        </w:rPr>
        <w:t xml:space="preserve">Figure 10. </w:t>
      </w:r>
      <w:r w:rsidR="00B30AF0" w:rsidRPr="00B30AF0">
        <w:rPr>
          <w:rFonts w:ascii="Times New Roman" w:eastAsia="宋体" w:hAnsi="Times New Roman" w:cs="Times New Roman"/>
          <w:sz w:val="24"/>
          <w:szCs w:val="24"/>
        </w:rPr>
        <w:t>Meridional</w:t>
      </w:r>
      <w:r w:rsidR="00B30AF0">
        <w:rPr>
          <w:rFonts w:ascii="Times New Roman" w:eastAsia="宋体" w:hAnsi="Times New Roman" w:cs="Times New Roman"/>
          <w:sz w:val="24"/>
          <w:szCs w:val="24"/>
        </w:rPr>
        <w:t>-</w:t>
      </w:r>
      <w:r w:rsidR="00B30AF0" w:rsidRPr="00B30AF0">
        <w:rPr>
          <w:rFonts w:ascii="Times New Roman" w:eastAsia="宋体" w:hAnsi="Times New Roman" w:cs="Times New Roman"/>
          <w:sz w:val="24"/>
          <w:szCs w:val="24"/>
        </w:rPr>
        <w:t xml:space="preserve">vertical water vapor transport </w:t>
      </w:r>
      <w:r w:rsidR="00536D00">
        <w:rPr>
          <w:rFonts w:ascii="Times New Roman" w:eastAsia="宋体" w:hAnsi="Times New Roman" w:cs="Times New Roman"/>
          <w:sz w:val="24"/>
          <w:szCs w:val="24"/>
        </w:rPr>
        <w:t xml:space="preserve">(vectors) and </w:t>
      </w:r>
      <w:r w:rsidR="00B30AF0">
        <w:rPr>
          <w:rFonts w:ascii="Times New Roman" w:eastAsia="宋体" w:hAnsi="Times New Roman" w:cs="Times New Roman"/>
          <w:sz w:val="24"/>
          <w:szCs w:val="24"/>
        </w:rPr>
        <w:t>m</w:t>
      </w:r>
      <w:r w:rsidR="00B30AF0" w:rsidRPr="00B30AF0">
        <w:rPr>
          <w:rFonts w:ascii="Times New Roman" w:eastAsia="宋体" w:hAnsi="Times New Roman" w:cs="Times New Roman"/>
          <w:sz w:val="24"/>
          <w:szCs w:val="24"/>
        </w:rPr>
        <w:t>eridional water transport</w:t>
      </w:r>
      <w:r w:rsidR="00536D00">
        <w:rPr>
          <w:rFonts w:ascii="Times New Roman" w:eastAsia="宋体" w:hAnsi="Times New Roman" w:cs="Times New Roman"/>
          <w:sz w:val="24"/>
          <w:szCs w:val="24"/>
        </w:rPr>
        <w:t xml:space="preserve"> (shading) </w:t>
      </w:r>
      <w:r w:rsidR="00B30AF0">
        <w:rPr>
          <w:rFonts w:ascii="Times New Roman" w:eastAsia="宋体" w:hAnsi="Times New Roman" w:cs="Times New Roman"/>
          <w:sz w:val="24"/>
          <w:szCs w:val="24"/>
        </w:rPr>
        <w:t>along 90</w:t>
      </w:r>
      <w:r w:rsidR="00536D00">
        <w:rPr>
          <w:rFonts w:ascii="Times New Roman" w:eastAsia="宋体" w:hAnsi="Times New Roman" w:cs="Times New Roman"/>
          <w:sz w:val="24"/>
          <w:szCs w:val="24"/>
        </w:rPr>
        <w:t>°E in (a) Single, (b) Multi and (c) Ctl experiments, and their differences (d) between the Single and Ctl</w:t>
      </w:r>
      <w:r w:rsidR="00536D00">
        <w:t xml:space="preserve"> </w:t>
      </w:r>
      <w:r w:rsidR="00536D00">
        <w:rPr>
          <w:rFonts w:ascii="Times New Roman" w:eastAsia="宋体" w:hAnsi="Times New Roman" w:cs="Times New Roman"/>
          <w:sz w:val="24"/>
          <w:szCs w:val="24"/>
        </w:rPr>
        <w:t>experiments and (e) between the Multi and Ctl experiments.</w:t>
      </w:r>
    </w:p>
    <w:p w14:paraId="1CBB1616" w14:textId="77777777" w:rsidR="00E76A53" w:rsidRDefault="00000000">
      <w:pPr>
        <w:widowControl/>
        <w:rPr>
          <w:rFonts w:ascii="Times New Roman" w:eastAsia="宋体" w:hAnsi="Times New Roman" w:cs="Times New Roman"/>
          <w:b/>
          <w:bCs/>
          <w:sz w:val="24"/>
          <w:szCs w:val="24"/>
        </w:rPr>
      </w:pPr>
      <w:r>
        <w:rPr>
          <w:rFonts w:ascii="Times New Roman" w:eastAsia="宋体" w:hAnsi="Times New Roman" w:cs="Times New Roman"/>
          <w:b/>
          <w:bCs/>
          <w:sz w:val="24"/>
          <w:szCs w:val="24"/>
        </w:rPr>
        <w:br w:type="page"/>
      </w:r>
    </w:p>
    <w:p w14:paraId="504AF8E6" w14:textId="77777777" w:rsidR="00E76A53" w:rsidRDefault="00000000">
      <w:pPr>
        <w:ind w:left="-693" w:right="-699"/>
        <w:jc w:val="center"/>
      </w:pPr>
      <w:r>
        <w:rPr>
          <w:noProof/>
        </w:rPr>
        <w:drawing>
          <wp:inline distT="0" distB="0" distL="0" distR="0" wp14:anchorId="52A05CED" wp14:editId="6D19C8A9">
            <wp:extent cx="4811395" cy="2408555"/>
            <wp:effectExtent l="0" t="0" r="8255" b="0"/>
            <wp:docPr id="96915" name="Picture 96915"/>
            <wp:cNvGraphicFramePr/>
            <a:graphic xmlns:a="http://schemas.openxmlformats.org/drawingml/2006/main">
              <a:graphicData uri="http://schemas.openxmlformats.org/drawingml/2006/picture">
                <pic:pic xmlns:pic="http://schemas.openxmlformats.org/drawingml/2006/picture">
                  <pic:nvPicPr>
                    <pic:cNvPr id="96915" name="Picture 96915"/>
                    <pic:cNvPicPr/>
                  </pic:nvPicPr>
                  <pic:blipFill>
                    <a:blip r:embed="rId23"/>
                    <a:stretch>
                      <a:fillRect/>
                    </a:stretch>
                  </pic:blipFill>
                  <pic:spPr>
                    <a:xfrm>
                      <a:off x="0" y="0"/>
                      <a:ext cx="4873097" cy="2439401"/>
                    </a:xfrm>
                    <a:prstGeom prst="rect">
                      <a:avLst/>
                    </a:prstGeom>
                  </pic:spPr>
                </pic:pic>
              </a:graphicData>
            </a:graphic>
          </wp:inline>
        </w:drawing>
      </w:r>
    </w:p>
    <w:p w14:paraId="673B5E27" w14:textId="7B8EFDF8" w:rsidR="00E76A53" w:rsidRDefault="00000000" w:rsidP="003D7CC9">
      <w:pPr>
        <w:rPr>
          <w:rFonts w:ascii="Times New Roman" w:eastAsia="宋体" w:hAnsi="Times New Roman" w:cs="Times New Roman"/>
          <w:sz w:val="24"/>
          <w:szCs w:val="24"/>
        </w:rPr>
      </w:pPr>
      <w:r>
        <w:rPr>
          <w:rFonts w:ascii="Times New Roman" w:eastAsia="宋体" w:hAnsi="Times New Roman" w:cs="Times New Roman"/>
          <w:b/>
          <w:bCs/>
          <w:sz w:val="24"/>
          <w:szCs w:val="24"/>
        </w:rPr>
        <w:t>Figure 11.</w:t>
      </w:r>
      <w:r>
        <w:rPr>
          <w:rFonts w:ascii="Times New Roman" w:eastAsia="宋体" w:hAnsi="Times New Roman" w:cs="Times New Roman"/>
          <w:sz w:val="24"/>
          <w:szCs w:val="24"/>
        </w:rPr>
        <w:t xml:space="preserve"> </w:t>
      </w:r>
      <w:r w:rsidR="003D7CC9" w:rsidRPr="003D7CC9">
        <w:rPr>
          <w:rFonts w:ascii="Times New Roman" w:eastAsia="宋体" w:hAnsi="Times New Roman" w:cs="Times New Roman"/>
          <w:sz w:val="24"/>
          <w:szCs w:val="24"/>
        </w:rPr>
        <w:t xml:space="preserve">Differences of </w:t>
      </w:r>
      <w:r w:rsidR="003D7CC9">
        <w:rPr>
          <w:rFonts w:ascii="Times New Roman" w:eastAsia="宋体" w:hAnsi="Times New Roman" w:cs="Times New Roman"/>
          <w:sz w:val="24"/>
          <w:szCs w:val="24"/>
        </w:rPr>
        <w:t>winter</w:t>
      </w:r>
      <w:r w:rsidR="003D7CC9" w:rsidRPr="003D7CC9">
        <w:rPr>
          <w:rFonts w:ascii="Times New Roman" w:eastAsia="宋体" w:hAnsi="Times New Roman" w:cs="Times New Roman"/>
          <w:sz w:val="24"/>
          <w:szCs w:val="24"/>
        </w:rPr>
        <w:t xml:space="preserve"> (</w:t>
      </w:r>
      <w:r w:rsidR="003D7CC9">
        <w:rPr>
          <w:rFonts w:ascii="Times New Roman" w:eastAsia="宋体" w:hAnsi="Times New Roman" w:cs="Times New Roman"/>
          <w:sz w:val="24"/>
          <w:szCs w:val="24"/>
        </w:rPr>
        <w:t>December</w:t>
      </w:r>
      <w:r w:rsidR="003D7CC9" w:rsidRPr="003D7CC9">
        <w:rPr>
          <w:rFonts w:ascii="Times New Roman" w:eastAsia="宋体" w:hAnsi="Times New Roman" w:cs="Times New Roman"/>
          <w:sz w:val="24"/>
          <w:szCs w:val="24"/>
        </w:rPr>
        <w:t xml:space="preserve">–February) average precipitation amount (mm day−1) (a) between Single and Ctl experiments, (b) between Multi and Ctl experiments and (c) between Ctl experiment and GPCP </w:t>
      </w:r>
      <w:r>
        <w:rPr>
          <w:rFonts w:ascii="Times New Roman" w:eastAsia="宋体" w:hAnsi="Times New Roman" w:cs="Times New Roman"/>
          <w:sz w:val="24"/>
          <w:szCs w:val="24"/>
        </w:rPr>
        <w:t>over South America. Vectors in Fig. 11a</w:t>
      </w:r>
      <w:r>
        <w:rPr>
          <w:rFonts w:ascii="Times New Roman" w:eastAsia="宋体" w:hAnsi="Times New Roman" w:cs="Times New Roman"/>
          <w:iCs/>
          <w:sz w:val="24"/>
          <w:szCs w:val="24"/>
        </w:rPr>
        <w:t xml:space="preserve"> and 11</w:t>
      </w:r>
      <w:r>
        <w:rPr>
          <w:rFonts w:ascii="Times New Roman" w:eastAsia="宋体" w:hAnsi="Times New Roman" w:cs="Times New Roman"/>
          <w:sz w:val="24"/>
          <w:szCs w:val="24"/>
        </w:rPr>
        <w:t>b represent the 850 hPa wind in the Single and Multi experiments, respectively. Black contours indicate the altitudes of 1000 m and 2000 m.</w:t>
      </w:r>
    </w:p>
    <w:p w14:paraId="6B97ECC3" w14:textId="77777777" w:rsidR="00E76A53" w:rsidRDefault="00000000">
      <w:pPr>
        <w:widowControl/>
        <w:jc w:val="left"/>
      </w:pPr>
      <w:r>
        <w:br w:type="page"/>
      </w:r>
    </w:p>
    <w:p w14:paraId="3E62D293" w14:textId="77777777" w:rsidR="00E76A53" w:rsidRDefault="00000000">
      <w:pPr>
        <w:ind w:left="994"/>
        <w:jc w:val="center"/>
        <w:rPr>
          <w:sz w:val="24"/>
          <w:szCs w:val="24"/>
        </w:rPr>
      </w:pPr>
      <w:r>
        <w:rPr>
          <w:noProof/>
          <w:sz w:val="24"/>
          <w:szCs w:val="24"/>
        </w:rPr>
        <w:drawing>
          <wp:inline distT="0" distB="0" distL="0" distR="0" wp14:anchorId="1133F010" wp14:editId="108D4240">
            <wp:extent cx="3030855" cy="4563110"/>
            <wp:effectExtent l="0" t="0" r="0" b="8890"/>
            <wp:docPr id="17315" name="Picture 17315"/>
            <wp:cNvGraphicFramePr/>
            <a:graphic xmlns:a="http://schemas.openxmlformats.org/drawingml/2006/main">
              <a:graphicData uri="http://schemas.openxmlformats.org/drawingml/2006/picture">
                <pic:pic xmlns:pic="http://schemas.openxmlformats.org/drawingml/2006/picture">
                  <pic:nvPicPr>
                    <pic:cNvPr id="17315" name="Picture 17315"/>
                    <pic:cNvPicPr/>
                  </pic:nvPicPr>
                  <pic:blipFill>
                    <a:blip r:embed="rId24"/>
                    <a:stretch>
                      <a:fillRect/>
                    </a:stretch>
                  </pic:blipFill>
                  <pic:spPr>
                    <a:xfrm>
                      <a:off x="0" y="0"/>
                      <a:ext cx="3038272" cy="4574382"/>
                    </a:xfrm>
                    <a:prstGeom prst="rect">
                      <a:avLst/>
                    </a:prstGeom>
                  </pic:spPr>
                </pic:pic>
              </a:graphicData>
            </a:graphic>
          </wp:inline>
        </w:drawing>
      </w:r>
    </w:p>
    <w:p w14:paraId="7035343B" w14:textId="5E96C9F8" w:rsidR="00E76A53" w:rsidRDefault="00000000">
      <w:pPr>
        <w:rPr>
          <w:rFonts w:ascii="Times New Roman" w:eastAsia="宋体" w:hAnsi="Times New Roman" w:cs="Times New Roman" w:hint="eastAsia"/>
          <w:sz w:val="24"/>
          <w:szCs w:val="24"/>
        </w:rPr>
      </w:pPr>
      <w:r>
        <w:rPr>
          <w:rFonts w:ascii="Times New Roman" w:eastAsia="宋体" w:hAnsi="Times New Roman" w:cs="Times New Roman"/>
          <w:b/>
          <w:bCs/>
          <w:sz w:val="24"/>
          <w:szCs w:val="24"/>
        </w:rPr>
        <w:t>Figure 12.</w:t>
      </w:r>
      <w:r>
        <w:rPr>
          <w:rFonts w:ascii="Times New Roman" w:eastAsia="宋体" w:hAnsi="Times New Roman" w:cs="Times New Roman"/>
          <w:sz w:val="24"/>
          <w:szCs w:val="24"/>
        </w:rPr>
        <w:t xml:space="preserve"> </w:t>
      </w:r>
      <w:r w:rsidR="00E220CC" w:rsidRPr="00E220CC">
        <w:rPr>
          <w:rFonts w:ascii="Times New Roman" w:eastAsia="宋体" w:hAnsi="Times New Roman" w:cs="Times New Roman"/>
          <w:sz w:val="24"/>
          <w:szCs w:val="24"/>
        </w:rPr>
        <w:t>Difference of (a–b) total precipitable water (kg m</w:t>
      </w:r>
      <w:r w:rsidR="00E220CC" w:rsidRPr="00E220CC">
        <w:rPr>
          <w:rFonts w:ascii="Times New Roman" w:eastAsia="宋体" w:hAnsi="Times New Roman" w:cs="Times New Roman"/>
          <w:sz w:val="24"/>
          <w:szCs w:val="24"/>
          <w:vertAlign w:val="superscript"/>
        </w:rPr>
        <w:t>−2</w:t>
      </w:r>
      <w:r w:rsidR="00E220CC" w:rsidRPr="00E220CC">
        <w:rPr>
          <w:rFonts w:ascii="Times New Roman" w:eastAsia="宋体" w:hAnsi="Times New Roman" w:cs="Times New Roman"/>
          <w:sz w:val="24"/>
          <w:szCs w:val="24"/>
        </w:rPr>
        <w:t>) and</w:t>
      </w:r>
      <w:r w:rsidR="00E220CC" w:rsidRPr="00E220CC">
        <w:rPr>
          <w:rFonts w:ascii="Times New Roman" w:eastAsia="宋体" w:hAnsi="Times New Roman" w:cs="Times New Roman"/>
          <w:sz w:val="24"/>
          <w:szCs w:val="24"/>
        </w:rPr>
        <w:t xml:space="preserve"> </w:t>
      </w:r>
      <w:r w:rsidR="00E220CC">
        <w:rPr>
          <w:rFonts w:ascii="Times New Roman" w:eastAsia="宋体" w:hAnsi="Times New Roman" w:cs="Times New Roman"/>
          <w:sz w:val="24"/>
          <w:szCs w:val="24"/>
        </w:rPr>
        <w:t>(c-d)</w:t>
      </w:r>
      <w:r>
        <w:rPr>
          <w:rFonts w:ascii="Times New Roman" w:eastAsia="宋体" w:hAnsi="Times New Roman" w:cs="Times New Roman"/>
          <w:sz w:val="24"/>
          <w:szCs w:val="24"/>
        </w:rPr>
        <w:t xml:space="preserve"> the lowest model level specific humidity</w:t>
      </w:r>
      <w:r w:rsidR="00485BF4">
        <w:rPr>
          <w:rFonts w:ascii="Times New Roman" w:eastAsia="宋体" w:hAnsi="Times New Roman" w:cs="Times New Roman"/>
          <w:sz w:val="24"/>
          <w:szCs w:val="24"/>
        </w:rPr>
        <w:t>(g/kg)</w:t>
      </w:r>
      <w:r>
        <w:rPr>
          <w:rFonts w:ascii="Times New Roman" w:eastAsia="宋体" w:hAnsi="Times New Roman" w:cs="Times New Roman"/>
          <w:sz w:val="24"/>
          <w:szCs w:val="24"/>
        </w:rPr>
        <w:t xml:space="preserve"> </w:t>
      </w:r>
      <w:r w:rsidR="00E220CC" w:rsidRPr="00E220CC">
        <w:rPr>
          <w:rFonts w:ascii="Times New Roman" w:eastAsia="宋体" w:hAnsi="Times New Roman" w:cs="Times New Roman"/>
          <w:sz w:val="24"/>
          <w:szCs w:val="24"/>
        </w:rPr>
        <w:t>between Single, Multi and Ctl experiments</w:t>
      </w:r>
      <w:r w:rsidR="00E220CC" w:rsidRPr="00E220CC">
        <w:rPr>
          <w:rFonts w:ascii="Times New Roman" w:eastAsia="宋体" w:hAnsi="Times New Roman" w:cs="Times New Roman"/>
          <w:sz w:val="24"/>
          <w:szCs w:val="24"/>
        </w:rPr>
        <w:t xml:space="preserve"> </w:t>
      </w:r>
      <w:r>
        <w:rPr>
          <w:rFonts w:ascii="Times New Roman" w:eastAsia="宋体" w:hAnsi="Times New Roman" w:cs="Times New Roman"/>
          <w:sz w:val="24"/>
          <w:szCs w:val="24"/>
        </w:rPr>
        <w:t>over South America.</w:t>
      </w:r>
      <w:r w:rsidR="00237937" w:rsidRPr="00237937">
        <w:rPr>
          <w:rFonts w:ascii="Times New Roman" w:eastAsia="宋体" w:hAnsi="Times New Roman" w:cs="Times New Roman"/>
          <w:sz w:val="24"/>
          <w:szCs w:val="24"/>
        </w:rPr>
        <w:t xml:space="preserve"> </w:t>
      </w:r>
      <w:r w:rsidR="00237937">
        <w:rPr>
          <w:rFonts w:ascii="Times New Roman" w:eastAsia="宋体" w:hAnsi="Times New Roman" w:cs="Times New Roman"/>
          <w:sz w:val="24"/>
          <w:szCs w:val="24"/>
        </w:rPr>
        <w:t>Black contours indicate the altitudes of 1000 m and 2000 m.</w:t>
      </w:r>
    </w:p>
    <w:p w14:paraId="4421ABAD" w14:textId="77777777" w:rsidR="00E76A53" w:rsidRDefault="00000000">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53D50B01" w14:textId="77777777" w:rsidR="00C21E35" w:rsidRPr="00111BB5" w:rsidRDefault="00C21E35" w:rsidP="00C21E35">
      <w:pPr>
        <w:spacing w:beforeLines="50" w:before="156" w:line="360" w:lineRule="auto"/>
        <w:rPr>
          <w:rFonts w:ascii="Times New Roman" w:eastAsia="等线" w:hAnsi="Times New Roman" w:cs="Times New Roman"/>
          <w:sz w:val="24"/>
          <w:szCs w:val="24"/>
        </w:rPr>
      </w:pPr>
      <w:r w:rsidRPr="00111BB5">
        <w:rPr>
          <w:rFonts w:ascii="Times New Roman" w:eastAsia="等线" w:hAnsi="Times New Roman" w:cs="Times New Roman"/>
          <w:b/>
          <w:sz w:val="24"/>
          <w:szCs w:val="24"/>
        </w:rPr>
        <w:t xml:space="preserve">Table </w:t>
      </w:r>
      <w:r>
        <w:rPr>
          <w:rFonts w:ascii="Times New Roman" w:eastAsia="等线" w:hAnsi="Times New Roman" w:cs="Times New Roman"/>
          <w:b/>
          <w:sz w:val="24"/>
          <w:szCs w:val="24"/>
        </w:rPr>
        <w:t>R</w:t>
      </w:r>
      <w:r w:rsidRPr="00111BB5">
        <w:rPr>
          <w:rFonts w:ascii="Times New Roman" w:eastAsia="等线" w:hAnsi="Times New Roman" w:cs="Times New Roman"/>
          <w:b/>
          <w:sz w:val="24"/>
          <w:szCs w:val="24"/>
        </w:rPr>
        <w:t>1</w:t>
      </w:r>
      <w:r w:rsidRPr="00111BB5">
        <w:rPr>
          <w:rFonts w:ascii="Times New Roman" w:eastAsia="等线" w:hAnsi="Times New Roman" w:cs="Times New Roman"/>
          <w:sz w:val="24"/>
          <w:szCs w:val="24"/>
        </w:rPr>
        <w:t>. RMSE in different regions.</w:t>
      </w:r>
    </w:p>
    <w:tbl>
      <w:tblPr>
        <w:tblStyle w:val="13"/>
        <w:tblW w:w="822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660"/>
        <w:gridCol w:w="1593"/>
        <w:gridCol w:w="1843"/>
        <w:gridCol w:w="2126"/>
      </w:tblGrid>
      <w:tr w:rsidR="00C21E35" w:rsidRPr="00111BB5" w14:paraId="110A7C77" w14:textId="77777777" w:rsidTr="00C21E35">
        <w:tc>
          <w:tcPr>
            <w:tcW w:w="2660" w:type="dxa"/>
            <w:tcBorders>
              <w:top w:val="single" w:sz="12" w:space="0" w:color="auto"/>
              <w:left w:val="nil"/>
              <w:bottom w:val="single" w:sz="4" w:space="0" w:color="auto"/>
              <w:right w:val="nil"/>
            </w:tcBorders>
            <w:hideMark/>
          </w:tcPr>
          <w:p w14:paraId="2F140C77" w14:textId="77777777" w:rsidR="00C21E35" w:rsidRPr="00111BB5" w:rsidRDefault="00C21E35" w:rsidP="00A1105F">
            <w:pPr>
              <w:spacing w:line="360" w:lineRule="auto"/>
              <w:jc w:val="center"/>
            </w:pPr>
            <w:r w:rsidRPr="00111BB5">
              <w:t>Regions</w:t>
            </w:r>
          </w:p>
        </w:tc>
        <w:tc>
          <w:tcPr>
            <w:tcW w:w="1593" w:type="dxa"/>
            <w:tcBorders>
              <w:top w:val="single" w:sz="12" w:space="0" w:color="auto"/>
              <w:left w:val="nil"/>
              <w:bottom w:val="single" w:sz="4" w:space="0" w:color="auto"/>
              <w:right w:val="nil"/>
            </w:tcBorders>
            <w:hideMark/>
          </w:tcPr>
          <w:p w14:paraId="2F2F08AC" w14:textId="77777777" w:rsidR="00C21E35" w:rsidRPr="00111BB5" w:rsidRDefault="00C21E35" w:rsidP="00A1105F">
            <w:pPr>
              <w:spacing w:line="360" w:lineRule="auto"/>
              <w:jc w:val="center"/>
            </w:pPr>
            <w:r w:rsidRPr="00111BB5">
              <w:t>Ctl experiment</w:t>
            </w:r>
          </w:p>
        </w:tc>
        <w:tc>
          <w:tcPr>
            <w:tcW w:w="1843" w:type="dxa"/>
            <w:tcBorders>
              <w:top w:val="single" w:sz="12" w:space="0" w:color="auto"/>
              <w:left w:val="nil"/>
              <w:bottom w:val="single" w:sz="4" w:space="0" w:color="auto"/>
              <w:right w:val="nil"/>
            </w:tcBorders>
            <w:hideMark/>
          </w:tcPr>
          <w:p w14:paraId="3A6C875A" w14:textId="77777777" w:rsidR="00C21E35" w:rsidRPr="00111BB5" w:rsidRDefault="00C21E35" w:rsidP="00A1105F">
            <w:pPr>
              <w:spacing w:line="360" w:lineRule="auto"/>
              <w:jc w:val="center"/>
            </w:pPr>
            <w:r w:rsidRPr="00111BB5">
              <w:t>Single experiment</w:t>
            </w:r>
          </w:p>
        </w:tc>
        <w:tc>
          <w:tcPr>
            <w:tcW w:w="2126" w:type="dxa"/>
            <w:tcBorders>
              <w:top w:val="single" w:sz="12" w:space="0" w:color="auto"/>
              <w:left w:val="nil"/>
              <w:bottom w:val="single" w:sz="4" w:space="0" w:color="auto"/>
              <w:right w:val="nil"/>
            </w:tcBorders>
            <w:hideMark/>
          </w:tcPr>
          <w:p w14:paraId="70914B81" w14:textId="77777777" w:rsidR="00C21E35" w:rsidRPr="00111BB5" w:rsidRDefault="00C21E35" w:rsidP="00A1105F">
            <w:pPr>
              <w:spacing w:line="360" w:lineRule="auto"/>
              <w:jc w:val="center"/>
            </w:pPr>
            <w:r w:rsidRPr="00111BB5">
              <w:t>Multi experiment</w:t>
            </w:r>
          </w:p>
        </w:tc>
      </w:tr>
      <w:tr w:rsidR="00C21E35" w:rsidRPr="00111BB5" w14:paraId="479D3137" w14:textId="77777777" w:rsidTr="00C21E35">
        <w:tc>
          <w:tcPr>
            <w:tcW w:w="2660" w:type="dxa"/>
            <w:tcBorders>
              <w:top w:val="single" w:sz="4" w:space="0" w:color="auto"/>
              <w:left w:val="nil"/>
              <w:bottom w:val="nil"/>
              <w:right w:val="nil"/>
            </w:tcBorders>
            <w:hideMark/>
          </w:tcPr>
          <w:p w14:paraId="5A55AA96" w14:textId="77777777" w:rsidR="00C21E35" w:rsidRPr="00111BB5" w:rsidRDefault="00C21E35" w:rsidP="00A1105F">
            <w:pPr>
              <w:spacing w:line="360" w:lineRule="auto"/>
              <w:jc w:val="center"/>
            </w:pPr>
            <w:r w:rsidRPr="00111BB5">
              <w:t xml:space="preserve">Tibetan Plateau </w:t>
            </w:r>
            <w:r>
              <w:t>(7</w:t>
            </w:r>
            <w:r w:rsidRPr="00053A9E">
              <w:t>0°</w:t>
            </w:r>
            <w:r>
              <w:t>E</w:t>
            </w:r>
            <w:r w:rsidRPr="00053A9E">
              <w:t>–</w:t>
            </w:r>
            <w:r>
              <w:t>105</w:t>
            </w:r>
            <w:r w:rsidRPr="00053A9E">
              <w:t>°</w:t>
            </w:r>
            <w:r>
              <w:t>E</w:t>
            </w:r>
            <w:r w:rsidRPr="00053A9E">
              <w:t xml:space="preserve">, </w:t>
            </w:r>
            <w:r>
              <w:t>22</w:t>
            </w:r>
            <w:r w:rsidRPr="00053A9E">
              <w:t>°</w:t>
            </w:r>
            <w:r>
              <w:t>N</w:t>
            </w:r>
            <w:r w:rsidRPr="00053A9E">
              <w:t>–</w:t>
            </w:r>
            <w:r>
              <w:t>45</w:t>
            </w:r>
            <w:r w:rsidRPr="00053A9E">
              <w:t>°N</w:t>
            </w:r>
            <w:r>
              <w:t>)</w:t>
            </w:r>
          </w:p>
        </w:tc>
        <w:tc>
          <w:tcPr>
            <w:tcW w:w="1593" w:type="dxa"/>
            <w:tcBorders>
              <w:top w:val="single" w:sz="4" w:space="0" w:color="auto"/>
              <w:left w:val="nil"/>
              <w:bottom w:val="nil"/>
              <w:right w:val="nil"/>
            </w:tcBorders>
            <w:hideMark/>
          </w:tcPr>
          <w:p w14:paraId="237E0FAA" w14:textId="77777777" w:rsidR="00C21E35" w:rsidRPr="00111BB5" w:rsidRDefault="00C21E35" w:rsidP="00A1105F">
            <w:pPr>
              <w:spacing w:line="360" w:lineRule="auto"/>
              <w:jc w:val="center"/>
            </w:pPr>
            <w:r w:rsidRPr="00111BB5">
              <w:t>5.44</w:t>
            </w:r>
          </w:p>
        </w:tc>
        <w:tc>
          <w:tcPr>
            <w:tcW w:w="1843" w:type="dxa"/>
            <w:tcBorders>
              <w:top w:val="single" w:sz="4" w:space="0" w:color="auto"/>
              <w:left w:val="nil"/>
              <w:bottom w:val="nil"/>
              <w:right w:val="nil"/>
            </w:tcBorders>
            <w:hideMark/>
          </w:tcPr>
          <w:p w14:paraId="362BB810" w14:textId="77777777" w:rsidR="00C21E35" w:rsidRPr="00111BB5" w:rsidRDefault="00C21E35" w:rsidP="00A1105F">
            <w:pPr>
              <w:spacing w:line="360" w:lineRule="auto"/>
              <w:jc w:val="center"/>
            </w:pPr>
            <w:r w:rsidRPr="00111BB5">
              <w:t>4.88 (10.3%)</w:t>
            </w:r>
          </w:p>
        </w:tc>
        <w:tc>
          <w:tcPr>
            <w:tcW w:w="2126" w:type="dxa"/>
            <w:tcBorders>
              <w:top w:val="single" w:sz="4" w:space="0" w:color="auto"/>
              <w:left w:val="nil"/>
              <w:bottom w:val="nil"/>
              <w:right w:val="nil"/>
            </w:tcBorders>
            <w:hideMark/>
          </w:tcPr>
          <w:p w14:paraId="46410658" w14:textId="77777777" w:rsidR="00C21E35" w:rsidRPr="00111BB5" w:rsidRDefault="00C21E35" w:rsidP="00A1105F">
            <w:pPr>
              <w:spacing w:line="360" w:lineRule="auto"/>
              <w:jc w:val="center"/>
            </w:pPr>
            <w:r w:rsidRPr="00111BB5">
              <w:t>3.85 (29.23%)</w:t>
            </w:r>
          </w:p>
        </w:tc>
      </w:tr>
      <w:tr w:rsidR="00C21E35" w:rsidRPr="00111BB5" w14:paraId="27B60DC4" w14:textId="77777777" w:rsidTr="00C21E35">
        <w:tc>
          <w:tcPr>
            <w:tcW w:w="2660" w:type="dxa"/>
            <w:tcBorders>
              <w:top w:val="nil"/>
              <w:left w:val="nil"/>
              <w:bottom w:val="nil"/>
              <w:right w:val="nil"/>
            </w:tcBorders>
            <w:hideMark/>
          </w:tcPr>
          <w:p w14:paraId="7475DD40" w14:textId="77777777" w:rsidR="00C21E35" w:rsidRPr="00111BB5" w:rsidRDefault="00C21E35" w:rsidP="00A1105F">
            <w:pPr>
              <w:spacing w:line="360" w:lineRule="auto"/>
              <w:jc w:val="center"/>
            </w:pPr>
            <w:r w:rsidRPr="00111BB5">
              <w:rPr>
                <w:bCs/>
                <w:kern w:val="24"/>
              </w:rPr>
              <w:t>Equatorial New Guinea</w:t>
            </w:r>
            <w:r>
              <w:rPr>
                <w:bCs/>
                <w:kern w:val="24"/>
              </w:rPr>
              <w:t xml:space="preserve"> (</w:t>
            </w:r>
            <w:r w:rsidRPr="00053A9E">
              <w:rPr>
                <w:bCs/>
                <w:kern w:val="24"/>
              </w:rPr>
              <w:t>100°E–150°E, 10°S–10°N</w:t>
            </w:r>
            <w:r>
              <w:rPr>
                <w:bCs/>
                <w:kern w:val="24"/>
              </w:rPr>
              <w:t>)</w:t>
            </w:r>
            <w:r w:rsidRPr="00111BB5">
              <w:rPr>
                <w:bCs/>
                <w:kern w:val="24"/>
              </w:rPr>
              <w:t xml:space="preserve"> </w:t>
            </w:r>
          </w:p>
        </w:tc>
        <w:tc>
          <w:tcPr>
            <w:tcW w:w="1593" w:type="dxa"/>
            <w:tcBorders>
              <w:top w:val="nil"/>
              <w:left w:val="nil"/>
              <w:bottom w:val="nil"/>
              <w:right w:val="nil"/>
            </w:tcBorders>
            <w:hideMark/>
          </w:tcPr>
          <w:p w14:paraId="68B5CB05" w14:textId="77777777" w:rsidR="00C21E35" w:rsidRPr="00111BB5" w:rsidRDefault="00C21E35" w:rsidP="00A1105F">
            <w:pPr>
              <w:spacing w:line="360" w:lineRule="auto"/>
              <w:jc w:val="center"/>
            </w:pPr>
            <w:r w:rsidRPr="00111BB5">
              <w:t>2.55</w:t>
            </w:r>
          </w:p>
        </w:tc>
        <w:tc>
          <w:tcPr>
            <w:tcW w:w="1843" w:type="dxa"/>
            <w:tcBorders>
              <w:top w:val="nil"/>
              <w:left w:val="nil"/>
              <w:bottom w:val="nil"/>
              <w:right w:val="nil"/>
            </w:tcBorders>
            <w:hideMark/>
          </w:tcPr>
          <w:p w14:paraId="213A78E0" w14:textId="77777777" w:rsidR="00C21E35" w:rsidRPr="00111BB5" w:rsidRDefault="00C21E35" w:rsidP="00A1105F">
            <w:pPr>
              <w:spacing w:line="360" w:lineRule="auto"/>
              <w:jc w:val="center"/>
            </w:pPr>
            <w:r w:rsidRPr="00111BB5">
              <w:t>2.2 (13.73%)</w:t>
            </w:r>
          </w:p>
        </w:tc>
        <w:tc>
          <w:tcPr>
            <w:tcW w:w="2126" w:type="dxa"/>
            <w:tcBorders>
              <w:top w:val="nil"/>
              <w:left w:val="nil"/>
              <w:bottom w:val="nil"/>
              <w:right w:val="nil"/>
            </w:tcBorders>
            <w:hideMark/>
          </w:tcPr>
          <w:p w14:paraId="5B3BFF17" w14:textId="77777777" w:rsidR="00C21E35" w:rsidRPr="00111BB5" w:rsidRDefault="00C21E35" w:rsidP="00A1105F">
            <w:pPr>
              <w:spacing w:line="360" w:lineRule="auto"/>
              <w:jc w:val="center"/>
            </w:pPr>
            <w:r w:rsidRPr="00111BB5">
              <w:t>1.88 (26.3%)</w:t>
            </w:r>
          </w:p>
        </w:tc>
      </w:tr>
      <w:tr w:rsidR="00C21E35" w:rsidRPr="00111BB5" w14:paraId="6569C032" w14:textId="77777777" w:rsidTr="00C21E35">
        <w:tc>
          <w:tcPr>
            <w:tcW w:w="2660" w:type="dxa"/>
            <w:tcBorders>
              <w:top w:val="nil"/>
              <w:left w:val="nil"/>
              <w:bottom w:val="nil"/>
              <w:right w:val="nil"/>
            </w:tcBorders>
            <w:hideMark/>
          </w:tcPr>
          <w:p w14:paraId="0E3AEE13" w14:textId="77777777" w:rsidR="00C21E35" w:rsidRPr="00111BB5" w:rsidRDefault="00C21E35" w:rsidP="00A1105F">
            <w:pPr>
              <w:spacing w:line="360" w:lineRule="auto"/>
              <w:jc w:val="center"/>
              <w:rPr>
                <w:bCs/>
                <w:kern w:val="24"/>
              </w:rPr>
            </w:pPr>
            <w:r w:rsidRPr="00111BB5">
              <w:rPr>
                <w:bCs/>
                <w:kern w:val="24"/>
              </w:rPr>
              <w:t>South America</w:t>
            </w:r>
            <w:r>
              <w:rPr>
                <w:bCs/>
                <w:kern w:val="24"/>
              </w:rPr>
              <w:t xml:space="preserve"> (</w:t>
            </w:r>
            <w:r w:rsidRPr="00053A9E">
              <w:rPr>
                <w:bCs/>
                <w:kern w:val="24"/>
              </w:rPr>
              <w:t>30°W–90°W, 60°S–5°N</w:t>
            </w:r>
            <w:r>
              <w:rPr>
                <w:bCs/>
                <w:kern w:val="24"/>
              </w:rPr>
              <w:t>)</w:t>
            </w:r>
          </w:p>
        </w:tc>
        <w:tc>
          <w:tcPr>
            <w:tcW w:w="1593" w:type="dxa"/>
            <w:tcBorders>
              <w:top w:val="nil"/>
              <w:left w:val="nil"/>
              <w:bottom w:val="nil"/>
              <w:right w:val="nil"/>
            </w:tcBorders>
            <w:hideMark/>
          </w:tcPr>
          <w:p w14:paraId="05CC0887" w14:textId="77777777" w:rsidR="00C21E35" w:rsidRPr="00111BB5" w:rsidRDefault="00C21E35" w:rsidP="00A1105F">
            <w:pPr>
              <w:spacing w:line="360" w:lineRule="auto"/>
              <w:jc w:val="center"/>
            </w:pPr>
            <w:r w:rsidRPr="00111BB5">
              <w:t>2.13</w:t>
            </w:r>
          </w:p>
        </w:tc>
        <w:tc>
          <w:tcPr>
            <w:tcW w:w="1843" w:type="dxa"/>
            <w:tcBorders>
              <w:top w:val="nil"/>
              <w:left w:val="nil"/>
              <w:bottom w:val="nil"/>
              <w:right w:val="nil"/>
            </w:tcBorders>
            <w:hideMark/>
          </w:tcPr>
          <w:p w14:paraId="7F6FCA4D" w14:textId="77777777" w:rsidR="00C21E35" w:rsidRPr="00111BB5" w:rsidRDefault="00C21E35" w:rsidP="00A1105F">
            <w:pPr>
              <w:spacing w:line="360" w:lineRule="auto"/>
              <w:jc w:val="center"/>
            </w:pPr>
            <w:r w:rsidRPr="00111BB5">
              <w:t>2.04 (4.23%)</w:t>
            </w:r>
          </w:p>
        </w:tc>
        <w:tc>
          <w:tcPr>
            <w:tcW w:w="2126" w:type="dxa"/>
            <w:tcBorders>
              <w:top w:val="nil"/>
              <w:left w:val="nil"/>
              <w:bottom w:val="nil"/>
              <w:right w:val="nil"/>
            </w:tcBorders>
            <w:hideMark/>
          </w:tcPr>
          <w:p w14:paraId="7EB0F311" w14:textId="77777777" w:rsidR="00C21E35" w:rsidRPr="00111BB5" w:rsidRDefault="00C21E35" w:rsidP="00A1105F">
            <w:pPr>
              <w:spacing w:line="360" w:lineRule="auto"/>
              <w:jc w:val="center"/>
            </w:pPr>
            <w:r w:rsidRPr="00111BB5">
              <w:t>1.91 (10.33%)</w:t>
            </w:r>
          </w:p>
        </w:tc>
      </w:tr>
      <w:tr w:rsidR="00C21E35" w:rsidRPr="00111BB5" w14:paraId="64DEB0FF" w14:textId="77777777" w:rsidTr="00C21E35">
        <w:tc>
          <w:tcPr>
            <w:tcW w:w="2660" w:type="dxa"/>
            <w:tcBorders>
              <w:top w:val="nil"/>
              <w:left w:val="nil"/>
              <w:bottom w:val="single" w:sz="12" w:space="0" w:color="auto"/>
              <w:right w:val="nil"/>
            </w:tcBorders>
          </w:tcPr>
          <w:p w14:paraId="24FF2318" w14:textId="77777777" w:rsidR="00C21E35" w:rsidRPr="00111BB5" w:rsidRDefault="00C21E35" w:rsidP="00A1105F">
            <w:pPr>
              <w:spacing w:line="360" w:lineRule="auto"/>
              <w:jc w:val="center"/>
              <w:rPr>
                <w:bCs/>
                <w:kern w:val="24"/>
              </w:rPr>
            </w:pPr>
            <w:r w:rsidRPr="00AC5632">
              <w:rPr>
                <w:bCs/>
                <w:kern w:val="24"/>
              </w:rPr>
              <w:t>North America</w:t>
            </w:r>
            <w:r>
              <w:rPr>
                <w:bCs/>
                <w:kern w:val="24"/>
              </w:rPr>
              <w:t xml:space="preserve"> (155</w:t>
            </w:r>
            <w:r w:rsidRPr="003B6DAC">
              <w:rPr>
                <w:bCs/>
                <w:kern w:val="24"/>
              </w:rPr>
              <w:t>°W–</w:t>
            </w:r>
            <w:r>
              <w:rPr>
                <w:bCs/>
                <w:kern w:val="24"/>
              </w:rPr>
              <w:t>122</w:t>
            </w:r>
            <w:r w:rsidRPr="003B6DAC">
              <w:rPr>
                <w:bCs/>
                <w:kern w:val="24"/>
              </w:rPr>
              <w:t xml:space="preserve">°W, </w:t>
            </w:r>
            <w:r>
              <w:rPr>
                <w:bCs/>
                <w:kern w:val="24"/>
              </w:rPr>
              <w:t>30</w:t>
            </w:r>
            <w:r w:rsidRPr="003B6DAC">
              <w:rPr>
                <w:bCs/>
                <w:kern w:val="24"/>
              </w:rPr>
              <w:t>°</w:t>
            </w:r>
            <w:r>
              <w:rPr>
                <w:bCs/>
                <w:kern w:val="24"/>
              </w:rPr>
              <w:t>N</w:t>
            </w:r>
            <w:r w:rsidRPr="003B6DAC">
              <w:rPr>
                <w:bCs/>
                <w:kern w:val="24"/>
              </w:rPr>
              <w:t>–</w:t>
            </w:r>
            <w:r>
              <w:rPr>
                <w:bCs/>
                <w:kern w:val="24"/>
              </w:rPr>
              <w:t>6</w:t>
            </w:r>
            <w:r w:rsidRPr="003B6DAC">
              <w:rPr>
                <w:bCs/>
                <w:kern w:val="24"/>
              </w:rPr>
              <w:t>5°N)</w:t>
            </w:r>
            <w:r>
              <w:rPr>
                <w:bCs/>
                <w:kern w:val="24"/>
              </w:rPr>
              <w:t>)</w:t>
            </w:r>
          </w:p>
        </w:tc>
        <w:tc>
          <w:tcPr>
            <w:tcW w:w="1593" w:type="dxa"/>
            <w:tcBorders>
              <w:top w:val="nil"/>
              <w:left w:val="nil"/>
              <w:bottom w:val="single" w:sz="12" w:space="0" w:color="auto"/>
              <w:right w:val="nil"/>
            </w:tcBorders>
          </w:tcPr>
          <w:p w14:paraId="6AF21CE5" w14:textId="77777777" w:rsidR="00C21E35" w:rsidRPr="003B6DAC" w:rsidRDefault="00C21E35" w:rsidP="00A1105F">
            <w:pPr>
              <w:spacing w:line="360" w:lineRule="auto"/>
              <w:jc w:val="center"/>
            </w:pPr>
            <w:r w:rsidRPr="00712387">
              <w:t>1.5</w:t>
            </w:r>
            <w:r>
              <w:t>7</w:t>
            </w:r>
          </w:p>
        </w:tc>
        <w:tc>
          <w:tcPr>
            <w:tcW w:w="1843" w:type="dxa"/>
            <w:tcBorders>
              <w:top w:val="nil"/>
              <w:left w:val="nil"/>
              <w:bottom w:val="single" w:sz="12" w:space="0" w:color="auto"/>
              <w:right w:val="nil"/>
            </w:tcBorders>
          </w:tcPr>
          <w:p w14:paraId="654B5A7A" w14:textId="77777777" w:rsidR="00C21E35" w:rsidRPr="00111BB5" w:rsidRDefault="00C21E35" w:rsidP="00A1105F">
            <w:pPr>
              <w:spacing w:line="360" w:lineRule="auto"/>
              <w:jc w:val="center"/>
            </w:pPr>
            <w:r w:rsidRPr="00712387">
              <w:t>1.46</w:t>
            </w:r>
            <w:r>
              <w:t xml:space="preserve"> (7%)</w:t>
            </w:r>
          </w:p>
        </w:tc>
        <w:tc>
          <w:tcPr>
            <w:tcW w:w="2126" w:type="dxa"/>
            <w:tcBorders>
              <w:top w:val="nil"/>
              <w:left w:val="nil"/>
              <w:bottom w:val="single" w:sz="12" w:space="0" w:color="auto"/>
              <w:right w:val="nil"/>
            </w:tcBorders>
          </w:tcPr>
          <w:p w14:paraId="16DAD9B5" w14:textId="77777777" w:rsidR="00C21E35" w:rsidRPr="00111BB5" w:rsidRDefault="00C21E35" w:rsidP="00A1105F">
            <w:pPr>
              <w:spacing w:line="360" w:lineRule="auto"/>
              <w:jc w:val="center"/>
            </w:pPr>
            <w:r w:rsidRPr="00712387">
              <w:t>1.42</w:t>
            </w:r>
            <w:r>
              <w:t>(9.55%)</w:t>
            </w:r>
          </w:p>
        </w:tc>
      </w:tr>
    </w:tbl>
    <w:p w14:paraId="64421C1E" w14:textId="77777777" w:rsidR="00E76A53" w:rsidRDefault="00E76A53"/>
    <w:sectPr w:rsidR="00E76A53">
      <w:footerReference w:type="default" r:id="rId25"/>
      <w:pgSz w:w="11906" w:h="16838"/>
      <w:pgMar w:top="1440" w:right="1797" w:bottom="1440" w:left="1797" w:header="851" w:footer="992" w:gutter="0"/>
      <w:lnNumType w:countBy="5"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6C0594" w14:textId="77777777" w:rsidR="001B774B" w:rsidRDefault="001B774B" w:rsidP="009A1A3D">
      <w:r>
        <w:separator/>
      </w:r>
    </w:p>
  </w:endnote>
  <w:endnote w:type="continuationSeparator" w:id="0">
    <w:p w14:paraId="5F8030FC" w14:textId="77777777" w:rsidR="001B774B" w:rsidRDefault="001B774B" w:rsidP="009A1A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4574498"/>
      <w:docPartObj>
        <w:docPartGallery w:val="Page Numbers (Bottom of Page)"/>
        <w:docPartUnique/>
      </w:docPartObj>
    </w:sdtPr>
    <w:sdtContent>
      <w:p w14:paraId="318F05BE" w14:textId="51AFBCA0" w:rsidR="00AE3B59" w:rsidRDefault="00AE3B59">
        <w:pPr>
          <w:pStyle w:val="a7"/>
          <w:jc w:val="center"/>
        </w:pPr>
        <w:r>
          <w:fldChar w:fldCharType="begin"/>
        </w:r>
        <w:r>
          <w:instrText>PAGE   \* MERGEFORMAT</w:instrText>
        </w:r>
        <w:r>
          <w:fldChar w:fldCharType="separate"/>
        </w:r>
        <w:r>
          <w:rPr>
            <w:lang w:val="zh-CN"/>
          </w:rPr>
          <w:t>2</w:t>
        </w:r>
        <w:r>
          <w:fldChar w:fldCharType="end"/>
        </w:r>
      </w:p>
    </w:sdtContent>
  </w:sdt>
  <w:p w14:paraId="0FE3B002" w14:textId="77777777" w:rsidR="00AE3B59" w:rsidRDefault="00AE3B59">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7A3B8" w14:textId="77777777" w:rsidR="001B774B" w:rsidRDefault="001B774B" w:rsidP="009A1A3D">
      <w:r>
        <w:separator/>
      </w:r>
    </w:p>
  </w:footnote>
  <w:footnote w:type="continuationSeparator" w:id="0">
    <w:p w14:paraId="5A1856F0" w14:textId="77777777" w:rsidR="001B774B" w:rsidRDefault="001B774B" w:rsidP="009A1A3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defaultTabStop w:val="420"/>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GQwYjkxMWIxZmQzMTI2YWMwODdmMGYxMjhlOGFkNDUifQ=="/>
  </w:docVars>
  <w:rsids>
    <w:rsidRoot w:val="00442FB4"/>
    <w:rsid w:val="00000F6C"/>
    <w:rsid w:val="00002337"/>
    <w:rsid w:val="00004122"/>
    <w:rsid w:val="0000585A"/>
    <w:rsid w:val="00007061"/>
    <w:rsid w:val="00007F14"/>
    <w:rsid w:val="0001103A"/>
    <w:rsid w:val="0001264C"/>
    <w:rsid w:val="0001287D"/>
    <w:rsid w:val="00013DB5"/>
    <w:rsid w:val="00014E2D"/>
    <w:rsid w:val="00015B97"/>
    <w:rsid w:val="00016E06"/>
    <w:rsid w:val="00020950"/>
    <w:rsid w:val="000210BD"/>
    <w:rsid w:val="00023943"/>
    <w:rsid w:val="00023F17"/>
    <w:rsid w:val="000246FC"/>
    <w:rsid w:val="000253A3"/>
    <w:rsid w:val="00025748"/>
    <w:rsid w:val="00026AFC"/>
    <w:rsid w:val="00027299"/>
    <w:rsid w:val="0002750F"/>
    <w:rsid w:val="00030A11"/>
    <w:rsid w:val="00030EA4"/>
    <w:rsid w:val="00031039"/>
    <w:rsid w:val="00031AA4"/>
    <w:rsid w:val="00031E77"/>
    <w:rsid w:val="00032BB1"/>
    <w:rsid w:val="00034786"/>
    <w:rsid w:val="00036F0E"/>
    <w:rsid w:val="0003709D"/>
    <w:rsid w:val="000372A9"/>
    <w:rsid w:val="000375AF"/>
    <w:rsid w:val="00037A0C"/>
    <w:rsid w:val="00037AF0"/>
    <w:rsid w:val="00041920"/>
    <w:rsid w:val="0004346A"/>
    <w:rsid w:val="00044B25"/>
    <w:rsid w:val="000464B3"/>
    <w:rsid w:val="00046675"/>
    <w:rsid w:val="0004679A"/>
    <w:rsid w:val="000469F2"/>
    <w:rsid w:val="00050C19"/>
    <w:rsid w:val="00050C77"/>
    <w:rsid w:val="00050F8C"/>
    <w:rsid w:val="00051673"/>
    <w:rsid w:val="000524AD"/>
    <w:rsid w:val="00052667"/>
    <w:rsid w:val="000528AB"/>
    <w:rsid w:val="0005353C"/>
    <w:rsid w:val="00053D22"/>
    <w:rsid w:val="00053F80"/>
    <w:rsid w:val="0005618F"/>
    <w:rsid w:val="0005626F"/>
    <w:rsid w:val="000566D2"/>
    <w:rsid w:val="00057FC2"/>
    <w:rsid w:val="00060424"/>
    <w:rsid w:val="0006126F"/>
    <w:rsid w:val="0006222A"/>
    <w:rsid w:val="0006389D"/>
    <w:rsid w:val="0006500B"/>
    <w:rsid w:val="0006588D"/>
    <w:rsid w:val="00065AE4"/>
    <w:rsid w:val="000669E0"/>
    <w:rsid w:val="00066C18"/>
    <w:rsid w:val="00066E40"/>
    <w:rsid w:val="000671A2"/>
    <w:rsid w:val="00070B31"/>
    <w:rsid w:val="00071566"/>
    <w:rsid w:val="000720F0"/>
    <w:rsid w:val="00072D22"/>
    <w:rsid w:val="000754BA"/>
    <w:rsid w:val="00080CFA"/>
    <w:rsid w:val="00081221"/>
    <w:rsid w:val="00081447"/>
    <w:rsid w:val="00081B33"/>
    <w:rsid w:val="000831D4"/>
    <w:rsid w:val="00085825"/>
    <w:rsid w:val="00085CB2"/>
    <w:rsid w:val="00090706"/>
    <w:rsid w:val="00092FA0"/>
    <w:rsid w:val="00094396"/>
    <w:rsid w:val="00095739"/>
    <w:rsid w:val="00095C89"/>
    <w:rsid w:val="000A00C9"/>
    <w:rsid w:val="000A0DE6"/>
    <w:rsid w:val="000A1EE7"/>
    <w:rsid w:val="000A2287"/>
    <w:rsid w:val="000A50D5"/>
    <w:rsid w:val="000A7D8C"/>
    <w:rsid w:val="000B075F"/>
    <w:rsid w:val="000B2A81"/>
    <w:rsid w:val="000B33BD"/>
    <w:rsid w:val="000B3424"/>
    <w:rsid w:val="000B5D1B"/>
    <w:rsid w:val="000B7F82"/>
    <w:rsid w:val="000C051B"/>
    <w:rsid w:val="000C148A"/>
    <w:rsid w:val="000C16B5"/>
    <w:rsid w:val="000C1A7A"/>
    <w:rsid w:val="000C2688"/>
    <w:rsid w:val="000C2CD2"/>
    <w:rsid w:val="000C5194"/>
    <w:rsid w:val="000C599B"/>
    <w:rsid w:val="000C64AE"/>
    <w:rsid w:val="000D2147"/>
    <w:rsid w:val="000D279C"/>
    <w:rsid w:val="000D295E"/>
    <w:rsid w:val="000D2CD5"/>
    <w:rsid w:val="000D354D"/>
    <w:rsid w:val="000D4A1B"/>
    <w:rsid w:val="000D64FC"/>
    <w:rsid w:val="000D7D45"/>
    <w:rsid w:val="000D7ED7"/>
    <w:rsid w:val="000E1736"/>
    <w:rsid w:val="000E1C70"/>
    <w:rsid w:val="000E2336"/>
    <w:rsid w:val="000E3570"/>
    <w:rsid w:val="000E3988"/>
    <w:rsid w:val="000E4BC8"/>
    <w:rsid w:val="000E6D4E"/>
    <w:rsid w:val="000E7E4D"/>
    <w:rsid w:val="000F0B35"/>
    <w:rsid w:val="000F0F66"/>
    <w:rsid w:val="000F1997"/>
    <w:rsid w:val="000F1BBC"/>
    <w:rsid w:val="000F3B55"/>
    <w:rsid w:val="000F3BDC"/>
    <w:rsid w:val="000F46C3"/>
    <w:rsid w:val="000F52DE"/>
    <w:rsid w:val="000F5312"/>
    <w:rsid w:val="000F62ED"/>
    <w:rsid w:val="000F69DC"/>
    <w:rsid w:val="0010036E"/>
    <w:rsid w:val="00101391"/>
    <w:rsid w:val="00102854"/>
    <w:rsid w:val="00102C6E"/>
    <w:rsid w:val="00102F93"/>
    <w:rsid w:val="00103554"/>
    <w:rsid w:val="0010375C"/>
    <w:rsid w:val="0010594D"/>
    <w:rsid w:val="001059A2"/>
    <w:rsid w:val="00106A17"/>
    <w:rsid w:val="00110E72"/>
    <w:rsid w:val="0011152B"/>
    <w:rsid w:val="0011223B"/>
    <w:rsid w:val="00112768"/>
    <w:rsid w:val="001130A9"/>
    <w:rsid w:val="001130CB"/>
    <w:rsid w:val="001130DD"/>
    <w:rsid w:val="0011442C"/>
    <w:rsid w:val="00115B79"/>
    <w:rsid w:val="001162CD"/>
    <w:rsid w:val="0011648B"/>
    <w:rsid w:val="0011671C"/>
    <w:rsid w:val="00116A6E"/>
    <w:rsid w:val="001172BF"/>
    <w:rsid w:val="0012206C"/>
    <w:rsid w:val="00122B06"/>
    <w:rsid w:val="001236AB"/>
    <w:rsid w:val="00123CBF"/>
    <w:rsid w:val="00124845"/>
    <w:rsid w:val="0012531D"/>
    <w:rsid w:val="001255A5"/>
    <w:rsid w:val="00127098"/>
    <w:rsid w:val="001276EA"/>
    <w:rsid w:val="0013106E"/>
    <w:rsid w:val="001332FD"/>
    <w:rsid w:val="00134A44"/>
    <w:rsid w:val="00134C58"/>
    <w:rsid w:val="001358F7"/>
    <w:rsid w:val="001365F0"/>
    <w:rsid w:val="00136976"/>
    <w:rsid w:val="00140E2C"/>
    <w:rsid w:val="00141CB6"/>
    <w:rsid w:val="0014206F"/>
    <w:rsid w:val="001420D0"/>
    <w:rsid w:val="00142204"/>
    <w:rsid w:val="001425F9"/>
    <w:rsid w:val="001426E8"/>
    <w:rsid w:val="0014342E"/>
    <w:rsid w:val="00144A27"/>
    <w:rsid w:val="001455D6"/>
    <w:rsid w:val="00147354"/>
    <w:rsid w:val="0015038B"/>
    <w:rsid w:val="00151A79"/>
    <w:rsid w:val="00151F08"/>
    <w:rsid w:val="001524FC"/>
    <w:rsid w:val="001534FE"/>
    <w:rsid w:val="00153D31"/>
    <w:rsid w:val="00153FF7"/>
    <w:rsid w:val="00154C79"/>
    <w:rsid w:val="0015787B"/>
    <w:rsid w:val="001608EB"/>
    <w:rsid w:val="00160F77"/>
    <w:rsid w:val="00162606"/>
    <w:rsid w:val="001626EC"/>
    <w:rsid w:val="001629FE"/>
    <w:rsid w:val="00163290"/>
    <w:rsid w:val="0016353C"/>
    <w:rsid w:val="00164929"/>
    <w:rsid w:val="001657C9"/>
    <w:rsid w:val="00165E69"/>
    <w:rsid w:val="00166E71"/>
    <w:rsid w:val="00167471"/>
    <w:rsid w:val="00172C96"/>
    <w:rsid w:val="00173BFE"/>
    <w:rsid w:val="00174D70"/>
    <w:rsid w:val="001756DB"/>
    <w:rsid w:val="0017581B"/>
    <w:rsid w:val="001777A4"/>
    <w:rsid w:val="00177A13"/>
    <w:rsid w:val="00180B11"/>
    <w:rsid w:val="0018165A"/>
    <w:rsid w:val="001821CC"/>
    <w:rsid w:val="001826BE"/>
    <w:rsid w:val="00182F6B"/>
    <w:rsid w:val="0018528A"/>
    <w:rsid w:val="00187F7D"/>
    <w:rsid w:val="001902D2"/>
    <w:rsid w:val="001905AF"/>
    <w:rsid w:val="00191045"/>
    <w:rsid w:val="0019140F"/>
    <w:rsid w:val="00191CD7"/>
    <w:rsid w:val="001934C9"/>
    <w:rsid w:val="0019363F"/>
    <w:rsid w:val="00193C64"/>
    <w:rsid w:val="001945B8"/>
    <w:rsid w:val="0019556C"/>
    <w:rsid w:val="001A1B68"/>
    <w:rsid w:val="001A1C96"/>
    <w:rsid w:val="001A1E21"/>
    <w:rsid w:val="001A24F5"/>
    <w:rsid w:val="001A269F"/>
    <w:rsid w:val="001A2B07"/>
    <w:rsid w:val="001A3176"/>
    <w:rsid w:val="001A3766"/>
    <w:rsid w:val="001A502D"/>
    <w:rsid w:val="001A50C3"/>
    <w:rsid w:val="001A5343"/>
    <w:rsid w:val="001A6520"/>
    <w:rsid w:val="001A6C33"/>
    <w:rsid w:val="001A716A"/>
    <w:rsid w:val="001A7F15"/>
    <w:rsid w:val="001B0599"/>
    <w:rsid w:val="001B0878"/>
    <w:rsid w:val="001B155A"/>
    <w:rsid w:val="001B2D63"/>
    <w:rsid w:val="001B2FAA"/>
    <w:rsid w:val="001B3C01"/>
    <w:rsid w:val="001B4F53"/>
    <w:rsid w:val="001B66E6"/>
    <w:rsid w:val="001B6E95"/>
    <w:rsid w:val="001B70CB"/>
    <w:rsid w:val="001B774B"/>
    <w:rsid w:val="001B77E1"/>
    <w:rsid w:val="001B7B83"/>
    <w:rsid w:val="001B7D43"/>
    <w:rsid w:val="001C300D"/>
    <w:rsid w:val="001C39C8"/>
    <w:rsid w:val="001C4A56"/>
    <w:rsid w:val="001C4AE9"/>
    <w:rsid w:val="001C4E96"/>
    <w:rsid w:val="001C58EE"/>
    <w:rsid w:val="001C62D4"/>
    <w:rsid w:val="001C6874"/>
    <w:rsid w:val="001C7655"/>
    <w:rsid w:val="001C7BAB"/>
    <w:rsid w:val="001D1286"/>
    <w:rsid w:val="001D2453"/>
    <w:rsid w:val="001D41FF"/>
    <w:rsid w:val="001D4AA4"/>
    <w:rsid w:val="001D5414"/>
    <w:rsid w:val="001D6443"/>
    <w:rsid w:val="001E1000"/>
    <w:rsid w:val="001E11AE"/>
    <w:rsid w:val="001E1584"/>
    <w:rsid w:val="001E2F43"/>
    <w:rsid w:val="001E5B94"/>
    <w:rsid w:val="001F09B9"/>
    <w:rsid w:val="001F0D12"/>
    <w:rsid w:val="001F0D85"/>
    <w:rsid w:val="001F134A"/>
    <w:rsid w:val="001F3D88"/>
    <w:rsid w:val="001F4A8F"/>
    <w:rsid w:val="001F4B2F"/>
    <w:rsid w:val="001F6348"/>
    <w:rsid w:val="001F6EEB"/>
    <w:rsid w:val="002005AD"/>
    <w:rsid w:val="00200F41"/>
    <w:rsid w:val="0020114B"/>
    <w:rsid w:val="0020140A"/>
    <w:rsid w:val="002020D6"/>
    <w:rsid w:val="002026E9"/>
    <w:rsid w:val="0020350A"/>
    <w:rsid w:val="0020382C"/>
    <w:rsid w:val="00203A36"/>
    <w:rsid w:val="00203E0C"/>
    <w:rsid w:val="00204114"/>
    <w:rsid w:val="00204F57"/>
    <w:rsid w:val="002056F6"/>
    <w:rsid w:val="0020791D"/>
    <w:rsid w:val="00207AC7"/>
    <w:rsid w:val="00207C9E"/>
    <w:rsid w:val="00207F49"/>
    <w:rsid w:val="00210401"/>
    <w:rsid w:val="00210BFF"/>
    <w:rsid w:val="002131AD"/>
    <w:rsid w:val="002133F7"/>
    <w:rsid w:val="00214013"/>
    <w:rsid w:val="0021442B"/>
    <w:rsid w:val="00215710"/>
    <w:rsid w:val="002158F2"/>
    <w:rsid w:val="002159B4"/>
    <w:rsid w:val="0021719A"/>
    <w:rsid w:val="002179C1"/>
    <w:rsid w:val="00217D4C"/>
    <w:rsid w:val="00220864"/>
    <w:rsid w:val="002208A1"/>
    <w:rsid w:val="00221489"/>
    <w:rsid w:val="00221B1B"/>
    <w:rsid w:val="00223AEE"/>
    <w:rsid w:val="002243E9"/>
    <w:rsid w:val="00224C0B"/>
    <w:rsid w:val="00224DB1"/>
    <w:rsid w:val="0022690E"/>
    <w:rsid w:val="00226FC4"/>
    <w:rsid w:val="002305D6"/>
    <w:rsid w:val="00231CBF"/>
    <w:rsid w:val="00232632"/>
    <w:rsid w:val="002330C2"/>
    <w:rsid w:val="002343B7"/>
    <w:rsid w:val="0023509C"/>
    <w:rsid w:val="00235339"/>
    <w:rsid w:val="00237736"/>
    <w:rsid w:val="00237937"/>
    <w:rsid w:val="00237A4A"/>
    <w:rsid w:val="00240FF6"/>
    <w:rsid w:val="0024697E"/>
    <w:rsid w:val="00246BB9"/>
    <w:rsid w:val="00246F56"/>
    <w:rsid w:val="00247109"/>
    <w:rsid w:val="00247694"/>
    <w:rsid w:val="00250C7A"/>
    <w:rsid w:val="002510BA"/>
    <w:rsid w:val="00252E96"/>
    <w:rsid w:val="00253608"/>
    <w:rsid w:val="00253891"/>
    <w:rsid w:val="002547F6"/>
    <w:rsid w:val="002551C4"/>
    <w:rsid w:val="00255831"/>
    <w:rsid w:val="0025584D"/>
    <w:rsid w:val="00256B51"/>
    <w:rsid w:val="00256C49"/>
    <w:rsid w:val="00257270"/>
    <w:rsid w:val="00257BB8"/>
    <w:rsid w:val="00257EAA"/>
    <w:rsid w:val="00261A77"/>
    <w:rsid w:val="0026270A"/>
    <w:rsid w:val="00264805"/>
    <w:rsid w:val="00265455"/>
    <w:rsid w:val="002654E3"/>
    <w:rsid w:val="00265AED"/>
    <w:rsid w:val="00266156"/>
    <w:rsid w:val="002662DF"/>
    <w:rsid w:val="002707AE"/>
    <w:rsid w:val="00271131"/>
    <w:rsid w:val="00274D47"/>
    <w:rsid w:val="00275000"/>
    <w:rsid w:val="00275582"/>
    <w:rsid w:val="00275C42"/>
    <w:rsid w:val="002808BB"/>
    <w:rsid w:val="0028122C"/>
    <w:rsid w:val="0028198E"/>
    <w:rsid w:val="002844D3"/>
    <w:rsid w:val="00285C15"/>
    <w:rsid w:val="0028665D"/>
    <w:rsid w:val="002869F1"/>
    <w:rsid w:val="00291D99"/>
    <w:rsid w:val="00292294"/>
    <w:rsid w:val="00292D56"/>
    <w:rsid w:val="00293534"/>
    <w:rsid w:val="002939F7"/>
    <w:rsid w:val="00295895"/>
    <w:rsid w:val="0029697A"/>
    <w:rsid w:val="002974CA"/>
    <w:rsid w:val="00297C2B"/>
    <w:rsid w:val="002A06FC"/>
    <w:rsid w:val="002A0F39"/>
    <w:rsid w:val="002A1107"/>
    <w:rsid w:val="002A2880"/>
    <w:rsid w:val="002A2E20"/>
    <w:rsid w:val="002A3CE6"/>
    <w:rsid w:val="002A5690"/>
    <w:rsid w:val="002B351B"/>
    <w:rsid w:val="002B36CC"/>
    <w:rsid w:val="002B7F6C"/>
    <w:rsid w:val="002C2B9E"/>
    <w:rsid w:val="002C32E4"/>
    <w:rsid w:val="002C3643"/>
    <w:rsid w:val="002C383D"/>
    <w:rsid w:val="002C49CF"/>
    <w:rsid w:val="002C5306"/>
    <w:rsid w:val="002C66AD"/>
    <w:rsid w:val="002C7F81"/>
    <w:rsid w:val="002D0E74"/>
    <w:rsid w:val="002D1384"/>
    <w:rsid w:val="002D16A9"/>
    <w:rsid w:val="002D1DD1"/>
    <w:rsid w:val="002D351C"/>
    <w:rsid w:val="002D4DD6"/>
    <w:rsid w:val="002D6D28"/>
    <w:rsid w:val="002E148C"/>
    <w:rsid w:val="002E14CB"/>
    <w:rsid w:val="002E1754"/>
    <w:rsid w:val="002E1F25"/>
    <w:rsid w:val="002E214A"/>
    <w:rsid w:val="002E25DD"/>
    <w:rsid w:val="002E2725"/>
    <w:rsid w:val="002E5014"/>
    <w:rsid w:val="002F154F"/>
    <w:rsid w:val="002F1A0E"/>
    <w:rsid w:val="002F2920"/>
    <w:rsid w:val="002F2E89"/>
    <w:rsid w:val="002F3957"/>
    <w:rsid w:val="002F437D"/>
    <w:rsid w:val="002F5920"/>
    <w:rsid w:val="002F5B6F"/>
    <w:rsid w:val="002F5F6E"/>
    <w:rsid w:val="002F6BD8"/>
    <w:rsid w:val="002F7A2C"/>
    <w:rsid w:val="00300993"/>
    <w:rsid w:val="00301276"/>
    <w:rsid w:val="00301FDD"/>
    <w:rsid w:val="003020F8"/>
    <w:rsid w:val="00302C28"/>
    <w:rsid w:val="003042D3"/>
    <w:rsid w:val="00304CDC"/>
    <w:rsid w:val="003067C4"/>
    <w:rsid w:val="00306DF9"/>
    <w:rsid w:val="00310D56"/>
    <w:rsid w:val="00310DA2"/>
    <w:rsid w:val="00311607"/>
    <w:rsid w:val="00311FAC"/>
    <w:rsid w:val="00312043"/>
    <w:rsid w:val="00312241"/>
    <w:rsid w:val="00312F96"/>
    <w:rsid w:val="00314285"/>
    <w:rsid w:val="00315AE7"/>
    <w:rsid w:val="00315F25"/>
    <w:rsid w:val="00317806"/>
    <w:rsid w:val="00320652"/>
    <w:rsid w:val="00320FF6"/>
    <w:rsid w:val="003210D6"/>
    <w:rsid w:val="00321B73"/>
    <w:rsid w:val="00323F56"/>
    <w:rsid w:val="00325A8B"/>
    <w:rsid w:val="003269D0"/>
    <w:rsid w:val="0033037C"/>
    <w:rsid w:val="003303DE"/>
    <w:rsid w:val="00332B97"/>
    <w:rsid w:val="003345E4"/>
    <w:rsid w:val="00334646"/>
    <w:rsid w:val="00335EA6"/>
    <w:rsid w:val="00336D10"/>
    <w:rsid w:val="00336E9A"/>
    <w:rsid w:val="00337753"/>
    <w:rsid w:val="003379AF"/>
    <w:rsid w:val="00337B2D"/>
    <w:rsid w:val="00341B98"/>
    <w:rsid w:val="00341C41"/>
    <w:rsid w:val="00342423"/>
    <w:rsid w:val="00342CAF"/>
    <w:rsid w:val="00343C16"/>
    <w:rsid w:val="003442D1"/>
    <w:rsid w:val="003446B9"/>
    <w:rsid w:val="00344BB4"/>
    <w:rsid w:val="00346516"/>
    <w:rsid w:val="003475BC"/>
    <w:rsid w:val="003475F9"/>
    <w:rsid w:val="00351538"/>
    <w:rsid w:val="003519D0"/>
    <w:rsid w:val="00351A57"/>
    <w:rsid w:val="003538F2"/>
    <w:rsid w:val="00354501"/>
    <w:rsid w:val="0035493F"/>
    <w:rsid w:val="00357787"/>
    <w:rsid w:val="00360241"/>
    <w:rsid w:val="00360287"/>
    <w:rsid w:val="00361297"/>
    <w:rsid w:val="0036147E"/>
    <w:rsid w:val="003617F8"/>
    <w:rsid w:val="00362425"/>
    <w:rsid w:val="0036275E"/>
    <w:rsid w:val="00362D8F"/>
    <w:rsid w:val="003654B4"/>
    <w:rsid w:val="00367A4E"/>
    <w:rsid w:val="00367EC9"/>
    <w:rsid w:val="00372CCD"/>
    <w:rsid w:val="00373446"/>
    <w:rsid w:val="0037354C"/>
    <w:rsid w:val="003736C2"/>
    <w:rsid w:val="00373C12"/>
    <w:rsid w:val="0037410C"/>
    <w:rsid w:val="00375A3B"/>
    <w:rsid w:val="00381663"/>
    <w:rsid w:val="0038289D"/>
    <w:rsid w:val="00382EF1"/>
    <w:rsid w:val="00383F0B"/>
    <w:rsid w:val="0038494C"/>
    <w:rsid w:val="003849AC"/>
    <w:rsid w:val="003910BF"/>
    <w:rsid w:val="003931CE"/>
    <w:rsid w:val="00393F20"/>
    <w:rsid w:val="003950E1"/>
    <w:rsid w:val="00395D2C"/>
    <w:rsid w:val="00395DEC"/>
    <w:rsid w:val="00396FE1"/>
    <w:rsid w:val="003A20EC"/>
    <w:rsid w:val="003A23E4"/>
    <w:rsid w:val="003A3C77"/>
    <w:rsid w:val="003A49EC"/>
    <w:rsid w:val="003A5743"/>
    <w:rsid w:val="003A68CE"/>
    <w:rsid w:val="003B0952"/>
    <w:rsid w:val="003B1721"/>
    <w:rsid w:val="003B1C85"/>
    <w:rsid w:val="003B241B"/>
    <w:rsid w:val="003B3B99"/>
    <w:rsid w:val="003B4FBA"/>
    <w:rsid w:val="003B7021"/>
    <w:rsid w:val="003C1FA3"/>
    <w:rsid w:val="003C22FB"/>
    <w:rsid w:val="003C33BF"/>
    <w:rsid w:val="003C369F"/>
    <w:rsid w:val="003C40C5"/>
    <w:rsid w:val="003C5B0E"/>
    <w:rsid w:val="003C6308"/>
    <w:rsid w:val="003C68C9"/>
    <w:rsid w:val="003C78AE"/>
    <w:rsid w:val="003C78C5"/>
    <w:rsid w:val="003D0A7D"/>
    <w:rsid w:val="003D149D"/>
    <w:rsid w:val="003D2563"/>
    <w:rsid w:val="003D2A8D"/>
    <w:rsid w:val="003D2CF7"/>
    <w:rsid w:val="003D2F61"/>
    <w:rsid w:val="003D4647"/>
    <w:rsid w:val="003D6452"/>
    <w:rsid w:val="003D6AE7"/>
    <w:rsid w:val="003D7CC9"/>
    <w:rsid w:val="003E0AB0"/>
    <w:rsid w:val="003E15FA"/>
    <w:rsid w:val="003E281F"/>
    <w:rsid w:val="003E49EE"/>
    <w:rsid w:val="003E5EB4"/>
    <w:rsid w:val="003E5FC2"/>
    <w:rsid w:val="003E640B"/>
    <w:rsid w:val="003E75ED"/>
    <w:rsid w:val="003E7958"/>
    <w:rsid w:val="003F0732"/>
    <w:rsid w:val="003F1895"/>
    <w:rsid w:val="003F291A"/>
    <w:rsid w:val="003F381E"/>
    <w:rsid w:val="003F4876"/>
    <w:rsid w:val="003F4BBC"/>
    <w:rsid w:val="003F5ED3"/>
    <w:rsid w:val="003F6474"/>
    <w:rsid w:val="003F6B04"/>
    <w:rsid w:val="003F75DD"/>
    <w:rsid w:val="004002F9"/>
    <w:rsid w:val="0040112C"/>
    <w:rsid w:val="00401FFC"/>
    <w:rsid w:val="004045B2"/>
    <w:rsid w:val="0040780B"/>
    <w:rsid w:val="004078CF"/>
    <w:rsid w:val="00410ACC"/>
    <w:rsid w:val="00410BC3"/>
    <w:rsid w:val="004111F4"/>
    <w:rsid w:val="00411B1B"/>
    <w:rsid w:val="00412661"/>
    <w:rsid w:val="004139FB"/>
    <w:rsid w:val="00413A9E"/>
    <w:rsid w:val="00413C23"/>
    <w:rsid w:val="00413F1E"/>
    <w:rsid w:val="00414CB9"/>
    <w:rsid w:val="00421FEE"/>
    <w:rsid w:val="0042284F"/>
    <w:rsid w:val="00422D10"/>
    <w:rsid w:val="00423C33"/>
    <w:rsid w:val="00423FAE"/>
    <w:rsid w:val="004259A7"/>
    <w:rsid w:val="00425D78"/>
    <w:rsid w:val="00426AD5"/>
    <w:rsid w:val="0042788A"/>
    <w:rsid w:val="004303F8"/>
    <w:rsid w:val="00430878"/>
    <w:rsid w:val="0043097A"/>
    <w:rsid w:val="00433132"/>
    <w:rsid w:val="004332BD"/>
    <w:rsid w:val="004340D3"/>
    <w:rsid w:val="00437368"/>
    <w:rsid w:val="00437701"/>
    <w:rsid w:val="00441246"/>
    <w:rsid w:val="00441CB1"/>
    <w:rsid w:val="00442FB4"/>
    <w:rsid w:val="004436A0"/>
    <w:rsid w:val="00443996"/>
    <w:rsid w:val="00444710"/>
    <w:rsid w:val="00444CE2"/>
    <w:rsid w:val="00445A3B"/>
    <w:rsid w:val="00446B0F"/>
    <w:rsid w:val="00447264"/>
    <w:rsid w:val="004475EC"/>
    <w:rsid w:val="004505C8"/>
    <w:rsid w:val="0045062E"/>
    <w:rsid w:val="0045166B"/>
    <w:rsid w:val="00452CA1"/>
    <w:rsid w:val="00455EF6"/>
    <w:rsid w:val="00455FDE"/>
    <w:rsid w:val="00457A30"/>
    <w:rsid w:val="0046041F"/>
    <w:rsid w:val="004607C3"/>
    <w:rsid w:val="004615DC"/>
    <w:rsid w:val="004644C8"/>
    <w:rsid w:val="0046485A"/>
    <w:rsid w:val="004665CF"/>
    <w:rsid w:val="00466971"/>
    <w:rsid w:val="00466F19"/>
    <w:rsid w:val="00467094"/>
    <w:rsid w:val="00467B58"/>
    <w:rsid w:val="00470B55"/>
    <w:rsid w:val="00470E5E"/>
    <w:rsid w:val="00471188"/>
    <w:rsid w:val="00473599"/>
    <w:rsid w:val="00473827"/>
    <w:rsid w:val="00473900"/>
    <w:rsid w:val="00473AEA"/>
    <w:rsid w:val="00475C30"/>
    <w:rsid w:val="00476295"/>
    <w:rsid w:val="00476C27"/>
    <w:rsid w:val="004770BA"/>
    <w:rsid w:val="0047759A"/>
    <w:rsid w:val="00480588"/>
    <w:rsid w:val="004809A6"/>
    <w:rsid w:val="00480A0D"/>
    <w:rsid w:val="0048109D"/>
    <w:rsid w:val="00482082"/>
    <w:rsid w:val="0048256D"/>
    <w:rsid w:val="004834CD"/>
    <w:rsid w:val="004839FC"/>
    <w:rsid w:val="004842F2"/>
    <w:rsid w:val="00484754"/>
    <w:rsid w:val="00485BF4"/>
    <w:rsid w:val="004866CE"/>
    <w:rsid w:val="00486E08"/>
    <w:rsid w:val="00490BD5"/>
    <w:rsid w:val="00491291"/>
    <w:rsid w:val="004921F6"/>
    <w:rsid w:val="00492EDF"/>
    <w:rsid w:val="00494186"/>
    <w:rsid w:val="004943BB"/>
    <w:rsid w:val="0049447E"/>
    <w:rsid w:val="0049656D"/>
    <w:rsid w:val="00497D50"/>
    <w:rsid w:val="004A1B4C"/>
    <w:rsid w:val="004A1FA3"/>
    <w:rsid w:val="004A3255"/>
    <w:rsid w:val="004A38B5"/>
    <w:rsid w:val="004A447B"/>
    <w:rsid w:val="004A4C8D"/>
    <w:rsid w:val="004A5E6F"/>
    <w:rsid w:val="004B0C70"/>
    <w:rsid w:val="004B236D"/>
    <w:rsid w:val="004B2988"/>
    <w:rsid w:val="004B3A50"/>
    <w:rsid w:val="004B3D5F"/>
    <w:rsid w:val="004B463B"/>
    <w:rsid w:val="004B4D13"/>
    <w:rsid w:val="004B6B6E"/>
    <w:rsid w:val="004B73B6"/>
    <w:rsid w:val="004C0496"/>
    <w:rsid w:val="004C39A9"/>
    <w:rsid w:val="004C3F07"/>
    <w:rsid w:val="004C4372"/>
    <w:rsid w:val="004C555D"/>
    <w:rsid w:val="004C6E6D"/>
    <w:rsid w:val="004D1BD9"/>
    <w:rsid w:val="004D21EA"/>
    <w:rsid w:val="004D2211"/>
    <w:rsid w:val="004D27A8"/>
    <w:rsid w:val="004D36B0"/>
    <w:rsid w:val="004D60A4"/>
    <w:rsid w:val="004D6E2F"/>
    <w:rsid w:val="004D7549"/>
    <w:rsid w:val="004D759F"/>
    <w:rsid w:val="004E2F46"/>
    <w:rsid w:val="004E48B3"/>
    <w:rsid w:val="004E4E7E"/>
    <w:rsid w:val="004E582D"/>
    <w:rsid w:val="004E6BBC"/>
    <w:rsid w:val="004F2BF9"/>
    <w:rsid w:val="004F3BBE"/>
    <w:rsid w:val="004F3C5C"/>
    <w:rsid w:val="004F3CE2"/>
    <w:rsid w:val="004F42ED"/>
    <w:rsid w:val="004F54F0"/>
    <w:rsid w:val="004F5BA9"/>
    <w:rsid w:val="004F6843"/>
    <w:rsid w:val="004F757D"/>
    <w:rsid w:val="004F7FDB"/>
    <w:rsid w:val="005016DF"/>
    <w:rsid w:val="00501FF5"/>
    <w:rsid w:val="005030E0"/>
    <w:rsid w:val="00503AFD"/>
    <w:rsid w:val="00503CD8"/>
    <w:rsid w:val="00506549"/>
    <w:rsid w:val="00506681"/>
    <w:rsid w:val="0050750C"/>
    <w:rsid w:val="00510281"/>
    <w:rsid w:val="00512DFC"/>
    <w:rsid w:val="00513FFB"/>
    <w:rsid w:val="00514E8A"/>
    <w:rsid w:val="00515775"/>
    <w:rsid w:val="00515E08"/>
    <w:rsid w:val="005162EC"/>
    <w:rsid w:val="0051738A"/>
    <w:rsid w:val="00520019"/>
    <w:rsid w:val="0052039A"/>
    <w:rsid w:val="0052059B"/>
    <w:rsid w:val="005232C8"/>
    <w:rsid w:val="00523FAB"/>
    <w:rsid w:val="00524156"/>
    <w:rsid w:val="0052499B"/>
    <w:rsid w:val="005252CC"/>
    <w:rsid w:val="005253FA"/>
    <w:rsid w:val="005254D8"/>
    <w:rsid w:val="00526140"/>
    <w:rsid w:val="00527430"/>
    <w:rsid w:val="00527520"/>
    <w:rsid w:val="0053010F"/>
    <w:rsid w:val="00530595"/>
    <w:rsid w:val="0053071F"/>
    <w:rsid w:val="00535176"/>
    <w:rsid w:val="00536495"/>
    <w:rsid w:val="00536D00"/>
    <w:rsid w:val="005370EC"/>
    <w:rsid w:val="005379F5"/>
    <w:rsid w:val="00537A33"/>
    <w:rsid w:val="00540743"/>
    <w:rsid w:val="0054164D"/>
    <w:rsid w:val="00542F3A"/>
    <w:rsid w:val="00544011"/>
    <w:rsid w:val="00544311"/>
    <w:rsid w:val="0054523A"/>
    <w:rsid w:val="0054582E"/>
    <w:rsid w:val="005460AD"/>
    <w:rsid w:val="00546151"/>
    <w:rsid w:val="00546754"/>
    <w:rsid w:val="00552386"/>
    <w:rsid w:val="0055253E"/>
    <w:rsid w:val="005536C0"/>
    <w:rsid w:val="00555EDA"/>
    <w:rsid w:val="00556348"/>
    <w:rsid w:val="005576E7"/>
    <w:rsid w:val="00557A38"/>
    <w:rsid w:val="005601B3"/>
    <w:rsid w:val="00561BFF"/>
    <w:rsid w:val="00562C85"/>
    <w:rsid w:val="0056381B"/>
    <w:rsid w:val="005639BC"/>
    <w:rsid w:val="00563FD7"/>
    <w:rsid w:val="005651C0"/>
    <w:rsid w:val="00565DE6"/>
    <w:rsid w:val="005664EC"/>
    <w:rsid w:val="0056781D"/>
    <w:rsid w:val="00567C21"/>
    <w:rsid w:val="00567C3F"/>
    <w:rsid w:val="00570A63"/>
    <w:rsid w:val="005720D0"/>
    <w:rsid w:val="005733CB"/>
    <w:rsid w:val="005762CD"/>
    <w:rsid w:val="005775C8"/>
    <w:rsid w:val="00577A90"/>
    <w:rsid w:val="0058104E"/>
    <w:rsid w:val="00585175"/>
    <w:rsid w:val="00585CC8"/>
    <w:rsid w:val="005861EE"/>
    <w:rsid w:val="00590C6E"/>
    <w:rsid w:val="005927A5"/>
    <w:rsid w:val="00592CA6"/>
    <w:rsid w:val="005930A0"/>
    <w:rsid w:val="005959CC"/>
    <w:rsid w:val="00595A9B"/>
    <w:rsid w:val="005A02D1"/>
    <w:rsid w:val="005A0C95"/>
    <w:rsid w:val="005A36F5"/>
    <w:rsid w:val="005A6714"/>
    <w:rsid w:val="005B0210"/>
    <w:rsid w:val="005B0485"/>
    <w:rsid w:val="005B2172"/>
    <w:rsid w:val="005B24D5"/>
    <w:rsid w:val="005B50A4"/>
    <w:rsid w:val="005B5BB1"/>
    <w:rsid w:val="005B6155"/>
    <w:rsid w:val="005B7C2C"/>
    <w:rsid w:val="005C0D99"/>
    <w:rsid w:val="005C1B4B"/>
    <w:rsid w:val="005C2C09"/>
    <w:rsid w:val="005C330A"/>
    <w:rsid w:val="005C3432"/>
    <w:rsid w:val="005C3BFE"/>
    <w:rsid w:val="005C6248"/>
    <w:rsid w:val="005C7669"/>
    <w:rsid w:val="005C7B21"/>
    <w:rsid w:val="005D16E3"/>
    <w:rsid w:val="005D1899"/>
    <w:rsid w:val="005D1D82"/>
    <w:rsid w:val="005D2AE1"/>
    <w:rsid w:val="005D4A2F"/>
    <w:rsid w:val="005D4D7D"/>
    <w:rsid w:val="005D627F"/>
    <w:rsid w:val="005D7241"/>
    <w:rsid w:val="005E0405"/>
    <w:rsid w:val="005E221E"/>
    <w:rsid w:val="005E265B"/>
    <w:rsid w:val="005E3222"/>
    <w:rsid w:val="005E515D"/>
    <w:rsid w:val="005E6E24"/>
    <w:rsid w:val="005E7A5A"/>
    <w:rsid w:val="005F12D7"/>
    <w:rsid w:val="005F45B4"/>
    <w:rsid w:val="005F462A"/>
    <w:rsid w:val="005F5285"/>
    <w:rsid w:val="005F6017"/>
    <w:rsid w:val="005F6141"/>
    <w:rsid w:val="005F6698"/>
    <w:rsid w:val="005F676C"/>
    <w:rsid w:val="005F75B9"/>
    <w:rsid w:val="0060032B"/>
    <w:rsid w:val="00600972"/>
    <w:rsid w:val="006015B9"/>
    <w:rsid w:val="006021CE"/>
    <w:rsid w:val="00603147"/>
    <w:rsid w:val="00604278"/>
    <w:rsid w:val="00605650"/>
    <w:rsid w:val="00606103"/>
    <w:rsid w:val="00610647"/>
    <w:rsid w:val="006139CE"/>
    <w:rsid w:val="006165D9"/>
    <w:rsid w:val="00617317"/>
    <w:rsid w:val="00617850"/>
    <w:rsid w:val="00620700"/>
    <w:rsid w:val="00620A2D"/>
    <w:rsid w:val="00620C5E"/>
    <w:rsid w:val="0062132C"/>
    <w:rsid w:val="00622A98"/>
    <w:rsid w:val="00622FD6"/>
    <w:rsid w:val="00623E68"/>
    <w:rsid w:val="0062477D"/>
    <w:rsid w:val="00624E42"/>
    <w:rsid w:val="00625BBE"/>
    <w:rsid w:val="00626610"/>
    <w:rsid w:val="00627390"/>
    <w:rsid w:val="006304D0"/>
    <w:rsid w:val="00630E74"/>
    <w:rsid w:val="00630F53"/>
    <w:rsid w:val="00631150"/>
    <w:rsid w:val="00632C45"/>
    <w:rsid w:val="006336B8"/>
    <w:rsid w:val="0063471F"/>
    <w:rsid w:val="006353B0"/>
    <w:rsid w:val="00636B5F"/>
    <w:rsid w:val="00641CB1"/>
    <w:rsid w:val="006426A6"/>
    <w:rsid w:val="00642751"/>
    <w:rsid w:val="00642C23"/>
    <w:rsid w:val="00642C41"/>
    <w:rsid w:val="006451C9"/>
    <w:rsid w:val="0064585A"/>
    <w:rsid w:val="00646778"/>
    <w:rsid w:val="00647ECB"/>
    <w:rsid w:val="00650F07"/>
    <w:rsid w:val="00651385"/>
    <w:rsid w:val="00652152"/>
    <w:rsid w:val="00653F99"/>
    <w:rsid w:val="00654580"/>
    <w:rsid w:val="00655ACB"/>
    <w:rsid w:val="0065647C"/>
    <w:rsid w:val="00656676"/>
    <w:rsid w:val="00656980"/>
    <w:rsid w:val="00657BBC"/>
    <w:rsid w:val="00657C5E"/>
    <w:rsid w:val="006602B5"/>
    <w:rsid w:val="006613A0"/>
    <w:rsid w:val="006614E2"/>
    <w:rsid w:val="006618B0"/>
    <w:rsid w:val="00662033"/>
    <w:rsid w:val="00664310"/>
    <w:rsid w:val="0066564C"/>
    <w:rsid w:val="006662A4"/>
    <w:rsid w:val="00666BD0"/>
    <w:rsid w:val="00666E67"/>
    <w:rsid w:val="00670A9A"/>
    <w:rsid w:val="00670C9E"/>
    <w:rsid w:val="00671749"/>
    <w:rsid w:val="00672951"/>
    <w:rsid w:val="0067451B"/>
    <w:rsid w:val="00674FCF"/>
    <w:rsid w:val="00675EAE"/>
    <w:rsid w:val="00676F15"/>
    <w:rsid w:val="00681748"/>
    <w:rsid w:val="00682715"/>
    <w:rsid w:val="00682B65"/>
    <w:rsid w:val="00682F0F"/>
    <w:rsid w:val="006838ED"/>
    <w:rsid w:val="0068586D"/>
    <w:rsid w:val="00686BF8"/>
    <w:rsid w:val="006901F5"/>
    <w:rsid w:val="006938DF"/>
    <w:rsid w:val="00694BBD"/>
    <w:rsid w:val="00695835"/>
    <w:rsid w:val="00695B6A"/>
    <w:rsid w:val="00695D3A"/>
    <w:rsid w:val="0069628F"/>
    <w:rsid w:val="00696ED6"/>
    <w:rsid w:val="00697DE1"/>
    <w:rsid w:val="006A0622"/>
    <w:rsid w:val="006A0A13"/>
    <w:rsid w:val="006A1656"/>
    <w:rsid w:val="006A17E5"/>
    <w:rsid w:val="006A1F0E"/>
    <w:rsid w:val="006A2186"/>
    <w:rsid w:val="006A28A6"/>
    <w:rsid w:val="006A33A5"/>
    <w:rsid w:val="006A3B0A"/>
    <w:rsid w:val="006A4372"/>
    <w:rsid w:val="006A56DF"/>
    <w:rsid w:val="006A61F9"/>
    <w:rsid w:val="006A693F"/>
    <w:rsid w:val="006A7870"/>
    <w:rsid w:val="006B1986"/>
    <w:rsid w:val="006B2638"/>
    <w:rsid w:val="006B2CBB"/>
    <w:rsid w:val="006B2D36"/>
    <w:rsid w:val="006B4053"/>
    <w:rsid w:val="006B417F"/>
    <w:rsid w:val="006B56F0"/>
    <w:rsid w:val="006B5E32"/>
    <w:rsid w:val="006B6FC3"/>
    <w:rsid w:val="006C02CA"/>
    <w:rsid w:val="006C0B1D"/>
    <w:rsid w:val="006C13C1"/>
    <w:rsid w:val="006C16E5"/>
    <w:rsid w:val="006C2E3E"/>
    <w:rsid w:val="006C359C"/>
    <w:rsid w:val="006C54B9"/>
    <w:rsid w:val="006C5BA6"/>
    <w:rsid w:val="006C66FA"/>
    <w:rsid w:val="006C72AE"/>
    <w:rsid w:val="006C74C0"/>
    <w:rsid w:val="006D0C42"/>
    <w:rsid w:val="006D0EC0"/>
    <w:rsid w:val="006D1518"/>
    <w:rsid w:val="006D1881"/>
    <w:rsid w:val="006D1E29"/>
    <w:rsid w:val="006D26EE"/>
    <w:rsid w:val="006D272A"/>
    <w:rsid w:val="006D2930"/>
    <w:rsid w:val="006D2CA3"/>
    <w:rsid w:val="006D2CFD"/>
    <w:rsid w:val="006D2EC0"/>
    <w:rsid w:val="006D3CB5"/>
    <w:rsid w:val="006D44FB"/>
    <w:rsid w:val="006D4901"/>
    <w:rsid w:val="006D5473"/>
    <w:rsid w:val="006D565C"/>
    <w:rsid w:val="006D57F9"/>
    <w:rsid w:val="006D6158"/>
    <w:rsid w:val="006E1BB3"/>
    <w:rsid w:val="006E1BBF"/>
    <w:rsid w:val="006E1E8C"/>
    <w:rsid w:val="006E2AD8"/>
    <w:rsid w:val="006E3846"/>
    <w:rsid w:val="006E73FC"/>
    <w:rsid w:val="006E7BAF"/>
    <w:rsid w:val="006F0971"/>
    <w:rsid w:val="006F0B00"/>
    <w:rsid w:val="006F1171"/>
    <w:rsid w:val="006F17FB"/>
    <w:rsid w:val="006F2407"/>
    <w:rsid w:val="006F26B0"/>
    <w:rsid w:val="006F2C02"/>
    <w:rsid w:val="006F2EE1"/>
    <w:rsid w:val="006F57D6"/>
    <w:rsid w:val="006F5D9A"/>
    <w:rsid w:val="006F6101"/>
    <w:rsid w:val="00700231"/>
    <w:rsid w:val="00702643"/>
    <w:rsid w:val="00702F55"/>
    <w:rsid w:val="00703DBA"/>
    <w:rsid w:val="00703DE2"/>
    <w:rsid w:val="00703E29"/>
    <w:rsid w:val="007045E5"/>
    <w:rsid w:val="007115EF"/>
    <w:rsid w:val="00712240"/>
    <w:rsid w:val="007126A2"/>
    <w:rsid w:val="00712F93"/>
    <w:rsid w:val="0071370A"/>
    <w:rsid w:val="007142A9"/>
    <w:rsid w:val="00714946"/>
    <w:rsid w:val="00714A85"/>
    <w:rsid w:val="00714DC7"/>
    <w:rsid w:val="00715030"/>
    <w:rsid w:val="007151FA"/>
    <w:rsid w:val="007155DD"/>
    <w:rsid w:val="0071578E"/>
    <w:rsid w:val="007167C6"/>
    <w:rsid w:val="007176EB"/>
    <w:rsid w:val="00722511"/>
    <w:rsid w:val="0072292A"/>
    <w:rsid w:val="00722BA4"/>
    <w:rsid w:val="007243C4"/>
    <w:rsid w:val="00725273"/>
    <w:rsid w:val="00725486"/>
    <w:rsid w:val="00725676"/>
    <w:rsid w:val="0072770C"/>
    <w:rsid w:val="00727CA2"/>
    <w:rsid w:val="00727CC3"/>
    <w:rsid w:val="00730CC4"/>
    <w:rsid w:val="00731923"/>
    <w:rsid w:val="007320A0"/>
    <w:rsid w:val="007321C8"/>
    <w:rsid w:val="007323E3"/>
    <w:rsid w:val="0073250B"/>
    <w:rsid w:val="0073318E"/>
    <w:rsid w:val="00733A3C"/>
    <w:rsid w:val="007348A8"/>
    <w:rsid w:val="00734CAA"/>
    <w:rsid w:val="007358BC"/>
    <w:rsid w:val="00737344"/>
    <w:rsid w:val="00740046"/>
    <w:rsid w:val="007410BB"/>
    <w:rsid w:val="00742C78"/>
    <w:rsid w:val="00743D52"/>
    <w:rsid w:val="0074443B"/>
    <w:rsid w:val="0074484F"/>
    <w:rsid w:val="00744E7B"/>
    <w:rsid w:val="0074565B"/>
    <w:rsid w:val="00746E80"/>
    <w:rsid w:val="00746F0A"/>
    <w:rsid w:val="00752760"/>
    <w:rsid w:val="0075297E"/>
    <w:rsid w:val="00753609"/>
    <w:rsid w:val="0075371B"/>
    <w:rsid w:val="007545CB"/>
    <w:rsid w:val="00754A11"/>
    <w:rsid w:val="00754A34"/>
    <w:rsid w:val="00755CE4"/>
    <w:rsid w:val="00756752"/>
    <w:rsid w:val="00756845"/>
    <w:rsid w:val="007613C1"/>
    <w:rsid w:val="0076331D"/>
    <w:rsid w:val="007648EC"/>
    <w:rsid w:val="00764AAB"/>
    <w:rsid w:val="00764F8D"/>
    <w:rsid w:val="007657F4"/>
    <w:rsid w:val="007658BA"/>
    <w:rsid w:val="00765A15"/>
    <w:rsid w:val="00767159"/>
    <w:rsid w:val="007705E1"/>
    <w:rsid w:val="00771480"/>
    <w:rsid w:val="007717DA"/>
    <w:rsid w:val="0077185B"/>
    <w:rsid w:val="00772C29"/>
    <w:rsid w:val="007755F5"/>
    <w:rsid w:val="007776F5"/>
    <w:rsid w:val="00777907"/>
    <w:rsid w:val="0078198D"/>
    <w:rsid w:val="0078278B"/>
    <w:rsid w:val="00784C52"/>
    <w:rsid w:val="0078515D"/>
    <w:rsid w:val="0078517F"/>
    <w:rsid w:val="00785864"/>
    <w:rsid w:val="00786218"/>
    <w:rsid w:val="0079082C"/>
    <w:rsid w:val="00791054"/>
    <w:rsid w:val="0079286B"/>
    <w:rsid w:val="00794C89"/>
    <w:rsid w:val="00794E48"/>
    <w:rsid w:val="00795248"/>
    <w:rsid w:val="007955E3"/>
    <w:rsid w:val="00796930"/>
    <w:rsid w:val="007A00DE"/>
    <w:rsid w:val="007A087F"/>
    <w:rsid w:val="007A2D04"/>
    <w:rsid w:val="007A54AF"/>
    <w:rsid w:val="007A5930"/>
    <w:rsid w:val="007A6113"/>
    <w:rsid w:val="007A66C8"/>
    <w:rsid w:val="007B0D1B"/>
    <w:rsid w:val="007B0FCC"/>
    <w:rsid w:val="007B1974"/>
    <w:rsid w:val="007B3222"/>
    <w:rsid w:val="007B4B0D"/>
    <w:rsid w:val="007B66BE"/>
    <w:rsid w:val="007C1C0E"/>
    <w:rsid w:val="007C269A"/>
    <w:rsid w:val="007C2DA2"/>
    <w:rsid w:val="007C2FF6"/>
    <w:rsid w:val="007C3EF2"/>
    <w:rsid w:val="007C574A"/>
    <w:rsid w:val="007C6A7B"/>
    <w:rsid w:val="007C7280"/>
    <w:rsid w:val="007D07D1"/>
    <w:rsid w:val="007D0896"/>
    <w:rsid w:val="007D164C"/>
    <w:rsid w:val="007D1D53"/>
    <w:rsid w:val="007D390E"/>
    <w:rsid w:val="007D3F5D"/>
    <w:rsid w:val="007D55E0"/>
    <w:rsid w:val="007D685B"/>
    <w:rsid w:val="007D7022"/>
    <w:rsid w:val="007D717F"/>
    <w:rsid w:val="007E01D6"/>
    <w:rsid w:val="007E0BA1"/>
    <w:rsid w:val="007E0E7A"/>
    <w:rsid w:val="007E0F8C"/>
    <w:rsid w:val="007E11E8"/>
    <w:rsid w:val="007E149B"/>
    <w:rsid w:val="007E2F9F"/>
    <w:rsid w:val="007E3060"/>
    <w:rsid w:val="007E4BC5"/>
    <w:rsid w:val="007E7234"/>
    <w:rsid w:val="007E7CC1"/>
    <w:rsid w:val="007E7DD5"/>
    <w:rsid w:val="007F05BC"/>
    <w:rsid w:val="007F0650"/>
    <w:rsid w:val="007F122F"/>
    <w:rsid w:val="007F350E"/>
    <w:rsid w:val="007F3787"/>
    <w:rsid w:val="007F421C"/>
    <w:rsid w:val="007F5086"/>
    <w:rsid w:val="007F51A0"/>
    <w:rsid w:val="007F5370"/>
    <w:rsid w:val="007F54B6"/>
    <w:rsid w:val="007F66B8"/>
    <w:rsid w:val="007F6B93"/>
    <w:rsid w:val="007F6CAD"/>
    <w:rsid w:val="007F7784"/>
    <w:rsid w:val="008009A0"/>
    <w:rsid w:val="00800A59"/>
    <w:rsid w:val="0080121D"/>
    <w:rsid w:val="00801668"/>
    <w:rsid w:val="00802D5D"/>
    <w:rsid w:val="008065BC"/>
    <w:rsid w:val="008072F8"/>
    <w:rsid w:val="00810023"/>
    <w:rsid w:val="00810174"/>
    <w:rsid w:val="008116D0"/>
    <w:rsid w:val="0081441F"/>
    <w:rsid w:val="00814985"/>
    <w:rsid w:val="00815257"/>
    <w:rsid w:val="00815935"/>
    <w:rsid w:val="00817078"/>
    <w:rsid w:val="00817204"/>
    <w:rsid w:val="00823CD1"/>
    <w:rsid w:val="00827EB0"/>
    <w:rsid w:val="00827F26"/>
    <w:rsid w:val="00830670"/>
    <w:rsid w:val="00831682"/>
    <w:rsid w:val="00832E24"/>
    <w:rsid w:val="00833407"/>
    <w:rsid w:val="008335E3"/>
    <w:rsid w:val="0083380C"/>
    <w:rsid w:val="00834B01"/>
    <w:rsid w:val="00835740"/>
    <w:rsid w:val="00836326"/>
    <w:rsid w:val="0084010E"/>
    <w:rsid w:val="008404C8"/>
    <w:rsid w:val="00841FE4"/>
    <w:rsid w:val="00842300"/>
    <w:rsid w:val="008452C3"/>
    <w:rsid w:val="00845690"/>
    <w:rsid w:val="00847165"/>
    <w:rsid w:val="00850051"/>
    <w:rsid w:val="008501B5"/>
    <w:rsid w:val="008543BE"/>
    <w:rsid w:val="00856739"/>
    <w:rsid w:val="00857696"/>
    <w:rsid w:val="00857CFC"/>
    <w:rsid w:val="00861163"/>
    <w:rsid w:val="00861BC2"/>
    <w:rsid w:val="00862235"/>
    <w:rsid w:val="00863811"/>
    <w:rsid w:val="00866297"/>
    <w:rsid w:val="008664F7"/>
    <w:rsid w:val="00866994"/>
    <w:rsid w:val="008705D7"/>
    <w:rsid w:val="008756AF"/>
    <w:rsid w:val="00875E0B"/>
    <w:rsid w:val="00875F40"/>
    <w:rsid w:val="008760F7"/>
    <w:rsid w:val="00876476"/>
    <w:rsid w:val="00880329"/>
    <w:rsid w:val="008812CB"/>
    <w:rsid w:val="00883550"/>
    <w:rsid w:val="00883AA4"/>
    <w:rsid w:val="00883EF1"/>
    <w:rsid w:val="00884882"/>
    <w:rsid w:val="008863C0"/>
    <w:rsid w:val="0088652B"/>
    <w:rsid w:val="008866F4"/>
    <w:rsid w:val="00887473"/>
    <w:rsid w:val="00887FC8"/>
    <w:rsid w:val="008904A5"/>
    <w:rsid w:val="008909FB"/>
    <w:rsid w:val="00891619"/>
    <w:rsid w:val="008918D6"/>
    <w:rsid w:val="00891965"/>
    <w:rsid w:val="00891B00"/>
    <w:rsid w:val="0089258F"/>
    <w:rsid w:val="00892B7E"/>
    <w:rsid w:val="00892E62"/>
    <w:rsid w:val="0089666E"/>
    <w:rsid w:val="00897D40"/>
    <w:rsid w:val="008A00A4"/>
    <w:rsid w:val="008A07AC"/>
    <w:rsid w:val="008A1E10"/>
    <w:rsid w:val="008A2CA7"/>
    <w:rsid w:val="008A31D8"/>
    <w:rsid w:val="008A406A"/>
    <w:rsid w:val="008A58FF"/>
    <w:rsid w:val="008A6C8F"/>
    <w:rsid w:val="008B08A3"/>
    <w:rsid w:val="008B17CA"/>
    <w:rsid w:val="008B1FE7"/>
    <w:rsid w:val="008B2280"/>
    <w:rsid w:val="008B2E43"/>
    <w:rsid w:val="008B364D"/>
    <w:rsid w:val="008B669B"/>
    <w:rsid w:val="008B6D43"/>
    <w:rsid w:val="008B78B0"/>
    <w:rsid w:val="008C2118"/>
    <w:rsid w:val="008C222A"/>
    <w:rsid w:val="008C4213"/>
    <w:rsid w:val="008C5162"/>
    <w:rsid w:val="008C55DC"/>
    <w:rsid w:val="008D1994"/>
    <w:rsid w:val="008D2397"/>
    <w:rsid w:val="008D2BE5"/>
    <w:rsid w:val="008D3D25"/>
    <w:rsid w:val="008D3D58"/>
    <w:rsid w:val="008D4657"/>
    <w:rsid w:val="008D571E"/>
    <w:rsid w:val="008D60F6"/>
    <w:rsid w:val="008D739B"/>
    <w:rsid w:val="008D7F05"/>
    <w:rsid w:val="008E03E5"/>
    <w:rsid w:val="008E076C"/>
    <w:rsid w:val="008E12CF"/>
    <w:rsid w:val="008E16D3"/>
    <w:rsid w:val="008E1AF0"/>
    <w:rsid w:val="008E38A5"/>
    <w:rsid w:val="008E38EC"/>
    <w:rsid w:val="008E3C67"/>
    <w:rsid w:val="008E5630"/>
    <w:rsid w:val="008E7381"/>
    <w:rsid w:val="008F01B8"/>
    <w:rsid w:val="008F0FA3"/>
    <w:rsid w:val="008F17EA"/>
    <w:rsid w:val="008F1EFA"/>
    <w:rsid w:val="008F2BD5"/>
    <w:rsid w:val="008F5B52"/>
    <w:rsid w:val="008F5EDB"/>
    <w:rsid w:val="00900132"/>
    <w:rsid w:val="009013FC"/>
    <w:rsid w:val="009029EB"/>
    <w:rsid w:val="00903CE7"/>
    <w:rsid w:val="00907B2D"/>
    <w:rsid w:val="0091128C"/>
    <w:rsid w:val="009132A1"/>
    <w:rsid w:val="00913904"/>
    <w:rsid w:val="009139E2"/>
    <w:rsid w:val="00915706"/>
    <w:rsid w:val="00915942"/>
    <w:rsid w:val="009171D4"/>
    <w:rsid w:val="0092162B"/>
    <w:rsid w:val="00922C0B"/>
    <w:rsid w:val="009231AE"/>
    <w:rsid w:val="009232DE"/>
    <w:rsid w:val="00923DE8"/>
    <w:rsid w:val="009255A6"/>
    <w:rsid w:val="009256DF"/>
    <w:rsid w:val="00925F7F"/>
    <w:rsid w:val="00927A71"/>
    <w:rsid w:val="00933731"/>
    <w:rsid w:val="0093374A"/>
    <w:rsid w:val="0093390A"/>
    <w:rsid w:val="00933F54"/>
    <w:rsid w:val="00935B10"/>
    <w:rsid w:val="00936965"/>
    <w:rsid w:val="009419B9"/>
    <w:rsid w:val="00941F75"/>
    <w:rsid w:val="009422E1"/>
    <w:rsid w:val="009426B0"/>
    <w:rsid w:val="0094385C"/>
    <w:rsid w:val="00943BFC"/>
    <w:rsid w:val="00944D3E"/>
    <w:rsid w:val="00951559"/>
    <w:rsid w:val="00952088"/>
    <w:rsid w:val="00952B60"/>
    <w:rsid w:val="00953370"/>
    <w:rsid w:val="00956161"/>
    <w:rsid w:val="009568E5"/>
    <w:rsid w:val="009570C6"/>
    <w:rsid w:val="00960B77"/>
    <w:rsid w:val="009616DB"/>
    <w:rsid w:val="00962F87"/>
    <w:rsid w:val="009633F7"/>
    <w:rsid w:val="00963622"/>
    <w:rsid w:val="009639C0"/>
    <w:rsid w:val="00964D3A"/>
    <w:rsid w:val="00964F24"/>
    <w:rsid w:val="00966493"/>
    <w:rsid w:val="00966ED6"/>
    <w:rsid w:val="00970A16"/>
    <w:rsid w:val="00970AC8"/>
    <w:rsid w:val="00970E0E"/>
    <w:rsid w:val="00972C86"/>
    <w:rsid w:val="00972F56"/>
    <w:rsid w:val="00974E13"/>
    <w:rsid w:val="0097513F"/>
    <w:rsid w:val="009752A2"/>
    <w:rsid w:val="00976926"/>
    <w:rsid w:val="009776BA"/>
    <w:rsid w:val="00980686"/>
    <w:rsid w:val="0098084F"/>
    <w:rsid w:val="00981D79"/>
    <w:rsid w:val="00981FC6"/>
    <w:rsid w:val="009825DA"/>
    <w:rsid w:val="00982863"/>
    <w:rsid w:val="00982BA1"/>
    <w:rsid w:val="00991A21"/>
    <w:rsid w:val="00991C14"/>
    <w:rsid w:val="00991DAC"/>
    <w:rsid w:val="00991F1A"/>
    <w:rsid w:val="00992305"/>
    <w:rsid w:val="009929C0"/>
    <w:rsid w:val="00992B43"/>
    <w:rsid w:val="00994635"/>
    <w:rsid w:val="00996843"/>
    <w:rsid w:val="00996B95"/>
    <w:rsid w:val="009A182C"/>
    <w:rsid w:val="009A1A3D"/>
    <w:rsid w:val="009A3127"/>
    <w:rsid w:val="009A382A"/>
    <w:rsid w:val="009A4F83"/>
    <w:rsid w:val="009A6871"/>
    <w:rsid w:val="009A6E43"/>
    <w:rsid w:val="009A6E4C"/>
    <w:rsid w:val="009A72AF"/>
    <w:rsid w:val="009B0883"/>
    <w:rsid w:val="009B0ACE"/>
    <w:rsid w:val="009B300B"/>
    <w:rsid w:val="009B3AF3"/>
    <w:rsid w:val="009B3C93"/>
    <w:rsid w:val="009B6344"/>
    <w:rsid w:val="009B7DD4"/>
    <w:rsid w:val="009C0999"/>
    <w:rsid w:val="009C1055"/>
    <w:rsid w:val="009C3C28"/>
    <w:rsid w:val="009C5905"/>
    <w:rsid w:val="009C7860"/>
    <w:rsid w:val="009C7E89"/>
    <w:rsid w:val="009D2485"/>
    <w:rsid w:val="009D2DDC"/>
    <w:rsid w:val="009D421F"/>
    <w:rsid w:val="009D488C"/>
    <w:rsid w:val="009D490E"/>
    <w:rsid w:val="009D4E35"/>
    <w:rsid w:val="009D4E3D"/>
    <w:rsid w:val="009D7CA6"/>
    <w:rsid w:val="009E04F8"/>
    <w:rsid w:val="009E0970"/>
    <w:rsid w:val="009E0A8F"/>
    <w:rsid w:val="009E0AF0"/>
    <w:rsid w:val="009E140B"/>
    <w:rsid w:val="009E1890"/>
    <w:rsid w:val="009E1C27"/>
    <w:rsid w:val="009E34C6"/>
    <w:rsid w:val="009E5D22"/>
    <w:rsid w:val="009E70AA"/>
    <w:rsid w:val="009E7DA9"/>
    <w:rsid w:val="009F0D08"/>
    <w:rsid w:val="009F250A"/>
    <w:rsid w:val="009F2A13"/>
    <w:rsid w:val="009F4D5A"/>
    <w:rsid w:val="009F54B6"/>
    <w:rsid w:val="009F68DE"/>
    <w:rsid w:val="009F79DE"/>
    <w:rsid w:val="00A0019C"/>
    <w:rsid w:val="00A00655"/>
    <w:rsid w:val="00A0417C"/>
    <w:rsid w:val="00A04697"/>
    <w:rsid w:val="00A047C6"/>
    <w:rsid w:val="00A0526A"/>
    <w:rsid w:val="00A05EBA"/>
    <w:rsid w:val="00A06367"/>
    <w:rsid w:val="00A07976"/>
    <w:rsid w:val="00A107F3"/>
    <w:rsid w:val="00A10FBF"/>
    <w:rsid w:val="00A12361"/>
    <w:rsid w:val="00A129A5"/>
    <w:rsid w:val="00A133F4"/>
    <w:rsid w:val="00A13AB1"/>
    <w:rsid w:val="00A13DBC"/>
    <w:rsid w:val="00A14F60"/>
    <w:rsid w:val="00A1626E"/>
    <w:rsid w:val="00A21164"/>
    <w:rsid w:val="00A21E26"/>
    <w:rsid w:val="00A229AF"/>
    <w:rsid w:val="00A23053"/>
    <w:rsid w:val="00A23C39"/>
    <w:rsid w:val="00A24CA6"/>
    <w:rsid w:val="00A252C8"/>
    <w:rsid w:val="00A25C1A"/>
    <w:rsid w:val="00A25E95"/>
    <w:rsid w:val="00A32B3F"/>
    <w:rsid w:val="00A32FBB"/>
    <w:rsid w:val="00A331F1"/>
    <w:rsid w:val="00A33BA2"/>
    <w:rsid w:val="00A340AD"/>
    <w:rsid w:val="00A34699"/>
    <w:rsid w:val="00A36A60"/>
    <w:rsid w:val="00A37200"/>
    <w:rsid w:val="00A40670"/>
    <w:rsid w:val="00A408DB"/>
    <w:rsid w:val="00A41C18"/>
    <w:rsid w:val="00A41DE5"/>
    <w:rsid w:val="00A42071"/>
    <w:rsid w:val="00A42E76"/>
    <w:rsid w:val="00A43BF7"/>
    <w:rsid w:val="00A44086"/>
    <w:rsid w:val="00A445B3"/>
    <w:rsid w:val="00A467D2"/>
    <w:rsid w:val="00A47735"/>
    <w:rsid w:val="00A51033"/>
    <w:rsid w:val="00A51519"/>
    <w:rsid w:val="00A51E67"/>
    <w:rsid w:val="00A53558"/>
    <w:rsid w:val="00A54D6F"/>
    <w:rsid w:val="00A5775C"/>
    <w:rsid w:val="00A6044D"/>
    <w:rsid w:val="00A6171A"/>
    <w:rsid w:val="00A61C6B"/>
    <w:rsid w:val="00A630CD"/>
    <w:rsid w:val="00A63DB6"/>
    <w:rsid w:val="00A656C4"/>
    <w:rsid w:val="00A65C38"/>
    <w:rsid w:val="00A6775E"/>
    <w:rsid w:val="00A70561"/>
    <w:rsid w:val="00A70CFD"/>
    <w:rsid w:val="00A73169"/>
    <w:rsid w:val="00A73947"/>
    <w:rsid w:val="00A73B0E"/>
    <w:rsid w:val="00A7621E"/>
    <w:rsid w:val="00A76A66"/>
    <w:rsid w:val="00A779A8"/>
    <w:rsid w:val="00A82C7A"/>
    <w:rsid w:val="00A83527"/>
    <w:rsid w:val="00A8453C"/>
    <w:rsid w:val="00A85220"/>
    <w:rsid w:val="00A85E02"/>
    <w:rsid w:val="00A86A79"/>
    <w:rsid w:val="00A907DB"/>
    <w:rsid w:val="00A90B17"/>
    <w:rsid w:val="00A92029"/>
    <w:rsid w:val="00A92061"/>
    <w:rsid w:val="00A9367E"/>
    <w:rsid w:val="00A94513"/>
    <w:rsid w:val="00A946CA"/>
    <w:rsid w:val="00A94A4F"/>
    <w:rsid w:val="00A972D8"/>
    <w:rsid w:val="00A978B0"/>
    <w:rsid w:val="00A97C14"/>
    <w:rsid w:val="00AA0688"/>
    <w:rsid w:val="00AA08ED"/>
    <w:rsid w:val="00AA10E3"/>
    <w:rsid w:val="00AA140B"/>
    <w:rsid w:val="00AA1BFC"/>
    <w:rsid w:val="00AA1DAD"/>
    <w:rsid w:val="00AA1E9F"/>
    <w:rsid w:val="00AA2294"/>
    <w:rsid w:val="00AA3161"/>
    <w:rsid w:val="00AA6537"/>
    <w:rsid w:val="00AA67C0"/>
    <w:rsid w:val="00AA6F9D"/>
    <w:rsid w:val="00AA7459"/>
    <w:rsid w:val="00AA749B"/>
    <w:rsid w:val="00AB00DD"/>
    <w:rsid w:val="00AB2F2F"/>
    <w:rsid w:val="00AB31F7"/>
    <w:rsid w:val="00AB3324"/>
    <w:rsid w:val="00AB4071"/>
    <w:rsid w:val="00AB41DD"/>
    <w:rsid w:val="00AB4DBC"/>
    <w:rsid w:val="00AB4FDE"/>
    <w:rsid w:val="00AB56FF"/>
    <w:rsid w:val="00AB5EB1"/>
    <w:rsid w:val="00AB60C1"/>
    <w:rsid w:val="00AB6252"/>
    <w:rsid w:val="00AB696E"/>
    <w:rsid w:val="00AB6B01"/>
    <w:rsid w:val="00AB6FF4"/>
    <w:rsid w:val="00AB74CB"/>
    <w:rsid w:val="00AB7891"/>
    <w:rsid w:val="00AC033A"/>
    <w:rsid w:val="00AC1726"/>
    <w:rsid w:val="00AC3122"/>
    <w:rsid w:val="00AC4013"/>
    <w:rsid w:val="00AC5606"/>
    <w:rsid w:val="00AC65C5"/>
    <w:rsid w:val="00AD0DC6"/>
    <w:rsid w:val="00AD1411"/>
    <w:rsid w:val="00AD3615"/>
    <w:rsid w:val="00AD39AC"/>
    <w:rsid w:val="00AD3A41"/>
    <w:rsid w:val="00AD5A6F"/>
    <w:rsid w:val="00AD6FF7"/>
    <w:rsid w:val="00AD7FD6"/>
    <w:rsid w:val="00AE10C1"/>
    <w:rsid w:val="00AE39B6"/>
    <w:rsid w:val="00AE3B59"/>
    <w:rsid w:val="00AE5502"/>
    <w:rsid w:val="00AE73AA"/>
    <w:rsid w:val="00AE7C3A"/>
    <w:rsid w:val="00AF0B30"/>
    <w:rsid w:val="00AF0E0E"/>
    <w:rsid w:val="00AF302E"/>
    <w:rsid w:val="00AF3572"/>
    <w:rsid w:val="00AF3B3C"/>
    <w:rsid w:val="00AF4063"/>
    <w:rsid w:val="00AF5AF5"/>
    <w:rsid w:val="00AF74AB"/>
    <w:rsid w:val="00B01605"/>
    <w:rsid w:val="00B01853"/>
    <w:rsid w:val="00B02EB5"/>
    <w:rsid w:val="00B03AEF"/>
    <w:rsid w:val="00B04146"/>
    <w:rsid w:val="00B04628"/>
    <w:rsid w:val="00B04F11"/>
    <w:rsid w:val="00B05F65"/>
    <w:rsid w:val="00B07C29"/>
    <w:rsid w:val="00B07D1C"/>
    <w:rsid w:val="00B1021B"/>
    <w:rsid w:val="00B12125"/>
    <w:rsid w:val="00B1251C"/>
    <w:rsid w:val="00B125A1"/>
    <w:rsid w:val="00B15DF6"/>
    <w:rsid w:val="00B15FED"/>
    <w:rsid w:val="00B17198"/>
    <w:rsid w:val="00B17E6C"/>
    <w:rsid w:val="00B22839"/>
    <w:rsid w:val="00B2325A"/>
    <w:rsid w:val="00B23DB5"/>
    <w:rsid w:val="00B23DC7"/>
    <w:rsid w:val="00B2425F"/>
    <w:rsid w:val="00B244E8"/>
    <w:rsid w:val="00B24A15"/>
    <w:rsid w:val="00B26242"/>
    <w:rsid w:val="00B265CB"/>
    <w:rsid w:val="00B26DFC"/>
    <w:rsid w:val="00B27839"/>
    <w:rsid w:val="00B30AF0"/>
    <w:rsid w:val="00B34FE9"/>
    <w:rsid w:val="00B35A54"/>
    <w:rsid w:val="00B3626F"/>
    <w:rsid w:val="00B3704E"/>
    <w:rsid w:val="00B3711E"/>
    <w:rsid w:val="00B400C2"/>
    <w:rsid w:val="00B4080B"/>
    <w:rsid w:val="00B42C63"/>
    <w:rsid w:val="00B42CD9"/>
    <w:rsid w:val="00B43C1F"/>
    <w:rsid w:val="00B456A7"/>
    <w:rsid w:val="00B45822"/>
    <w:rsid w:val="00B469B1"/>
    <w:rsid w:val="00B472E3"/>
    <w:rsid w:val="00B47364"/>
    <w:rsid w:val="00B50FB9"/>
    <w:rsid w:val="00B52C90"/>
    <w:rsid w:val="00B54AE5"/>
    <w:rsid w:val="00B554C0"/>
    <w:rsid w:val="00B55856"/>
    <w:rsid w:val="00B577EB"/>
    <w:rsid w:val="00B602C6"/>
    <w:rsid w:val="00B60649"/>
    <w:rsid w:val="00B60D2D"/>
    <w:rsid w:val="00B62959"/>
    <w:rsid w:val="00B64896"/>
    <w:rsid w:val="00B6685F"/>
    <w:rsid w:val="00B71CB5"/>
    <w:rsid w:val="00B7343D"/>
    <w:rsid w:val="00B74027"/>
    <w:rsid w:val="00B75017"/>
    <w:rsid w:val="00B75991"/>
    <w:rsid w:val="00B76E52"/>
    <w:rsid w:val="00B76E98"/>
    <w:rsid w:val="00B805D3"/>
    <w:rsid w:val="00B80777"/>
    <w:rsid w:val="00B80A6E"/>
    <w:rsid w:val="00B81A88"/>
    <w:rsid w:val="00B841DB"/>
    <w:rsid w:val="00B856BF"/>
    <w:rsid w:val="00B86975"/>
    <w:rsid w:val="00B86CE4"/>
    <w:rsid w:val="00B86F90"/>
    <w:rsid w:val="00B87F1B"/>
    <w:rsid w:val="00B90097"/>
    <w:rsid w:val="00B9103F"/>
    <w:rsid w:val="00B91944"/>
    <w:rsid w:val="00B924F7"/>
    <w:rsid w:val="00B92C2F"/>
    <w:rsid w:val="00B943E0"/>
    <w:rsid w:val="00B94F8B"/>
    <w:rsid w:val="00B96595"/>
    <w:rsid w:val="00B96DEF"/>
    <w:rsid w:val="00BA0FAD"/>
    <w:rsid w:val="00BA13CA"/>
    <w:rsid w:val="00BA14C0"/>
    <w:rsid w:val="00BB1019"/>
    <w:rsid w:val="00BB1A3C"/>
    <w:rsid w:val="00BB2443"/>
    <w:rsid w:val="00BB297E"/>
    <w:rsid w:val="00BB3C7B"/>
    <w:rsid w:val="00BB40DC"/>
    <w:rsid w:val="00BB4B3E"/>
    <w:rsid w:val="00BB4F5D"/>
    <w:rsid w:val="00BB53C9"/>
    <w:rsid w:val="00BB74AB"/>
    <w:rsid w:val="00BC081B"/>
    <w:rsid w:val="00BC0C05"/>
    <w:rsid w:val="00BC10EF"/>
    <w:rsid w:val="00BC1634"/>
    <w:rsid w:val="00BC1E84"/>
    <w:rsid w:val="00BC3E58"/>
    <w:rsid w:val="00BC4130"/>
    <w:rsid w:val="00BC44B1"/>
    <w:rsid w:val="00BC44E1"/>
    <w:rsid w:val="00BC7EA5"/>
    <w:rsid w:val="00BD01F5"/>
    <w:rsid w:val="00BD097C"/>
    <w:rsid w:val="00BD18BA"/>
    <w:rsid w:val="00BD2182"/>
    <w:rsid w:val="00BD4FA3"/>
    <w:rsid w:val="00BD5CD8"/>
    <w:rsid w:val="00BD5D06"/>
    <w:rsid w:val="00BD6372"/>
    <w:rsid w:val="00BD6E93"/>
    <w:rsid w:val="00BD70CF"/>
    <w:rsid w:val="00BD7718"/>
    <w:rsid w:val="00BE275F"/>
    <w:rsid w:val="00BE2F3D"/>
    <w:rsid w:val="00BE4452"/>
    <w:rsid w:val="00BE4920"/>
    <w:rsid w:val="00BE4C9D"/>
    <w:rsid w:val="00BE4E2B"/>
    <w:rsid w:val="00BE51BE"/>
    <w:rsid w:val="00BE54BE"/>
    <w:rsid w:val="00BE62E4"/>
    <w:rsid w:val="00BF1663"/>
    <w:rsid w:val="00BF2F51"/>
    <w:rsid w:val="00BF3A8C"/>
    <w:rsid w:val="00BF4587"/>
    <w:rsid w:val="00BF61AD"/>
    <w:rsid w:val="00BF621D"/>
    <w:rsid w:val="00BF6A35"/>
    <w:rsid w:val="00BF77B6"/>
    <w:rsid w:val="00C00DCA"/>
    <w:rsid w:val="00C00F30"/>
    <w:rsid w:val="00C018B0"/>
    <w:rsid w:val="00C02212"/>
    <w:rsid w:val="00C04BA6"/>
    <w:rsid w:val="00C052A7"/>
    <w:rsid w:val="00C0565B"/>
    <w:rsid w:val="00C07F8D"/>
    <w:rsid w:val="00C11644"/>
    <w:rsid w:val="00C11F17"/>
    <w:rsid w:val="00C14E29"/>
    <w:rsid w:val="00C15447"/>
    <w:rsid w:val="00C15D0F"/>
    <w:rsid w:val="00C15DEF"/>
    <w:rsid w:val="00C17419"/>
    <w:rsid w:val="00C17A3B"/>
    <w:rsid w:val="00C20047"/>
    <w:rsid w:val="00C21E35"/>
    <w:rsid w:val="00C2219B"/>
    <w:rsid w:val="00C22302"/>
    <w:rsid w:val="00C24229"/>
    <w:rsid w:val="00C24FD4"/>
    <w:rsid w:val="00C25F85"/>
    <w:rsid w:val="00C2606A"/>
    <w:rsid w:val="00C26A4B"/>
    <w:rsid w:val="00C26E71"/>
    <w:rsid w:val="00C27CF4"/>
    <w:rsid w:val="00C306A4"/>
    <w:rsid w:val="00C30722"/>
    <w:rsid w:val="00C31658"/>
    <w:rsid w:val="00C31B71"/>
    <w:rsid w:val="00C31D4C"/>
    <w:rsid w:val="00C32C8D"/>
    <w:rsid w:val="00C334EB"/>
    <w:rsid w:val="00C3376A"/>
    <w:rsid w:val="00C33E54"/>
    <w:rsid w:val="00C35225"/>
    <w:rsid w:val="00C35CA2"/>
    <w:rsid w:val="00C3618F"/>
    <w:rsid w:val="00C372CA"/>
    <w:rsid w:val="00C4015E"/>
    <w:rsid w:val="00C42279"/>
    <w:rsid w:val="00C4300E"/>
    <w:rsid w:val="00C462F2"/>
    <w:rsid w:val="00C46BD1"/>
    <w:rsid w:val="00C474E1"/>
    <w:rsid w:val="00C504DE"/>
    <w:rsid w:val="00C50CBB"/>
    <w:rsid w:val="00C5204E"/>
    <w:rsid w:val="00C52065"/>
    <w:rsid w:val="00C52A72"/>
    <w:rsid w:val="00C53F04"/>
    <w:rsid w:val="00C5606E"/>
    <w:rsid w:val="00C565E6"/>
    <w:rsid w:val="00C567C5"/>
    <w:rsid w:val="00C57486"/>
    <w:rsid w:val="00C603C4"/>
    <w:rsid w:val="00C60668"/>
    <w:rsid w:val="00C60C6F"/>
    <w:rsid w:val="00C6152F"/>
    <w:rsid w:val="00C62DAB"/>
    <w:rsid w:val="00C62E9C"/>
    <w:rsid w:val="00C63CCC"/>
    <w:rsid w:val="00C64826"/>
    <w:rsid w:val="00C649EF"/>
    <w:rsid w:val="00C704AC"/>
    <w:rsid w:val="00C70920"/>
    <w:rsid w:val="00C70C0B"/>
    <w:rsid w:val="00C71BF3"/>
    <w:rsid w:val="00C72F7E"/>
    <w:rsid w:val="00C73A56"/>
    <w:rsid w:val="00C742C9"/>
    <w:rsid w:val="00C74515"/>
    <w:rsid w:val="00C75410"/>
    <w:rsid w:val="00C754B6"/>
    <w:rsid w:val="00C75FF9"/>
    <w:rsid w:val="00C7657D"/>
    <w:rsid w:val="00C76942"/>
    <w:rsid w:val="00C77234"/>
    <w:rsid w:val="00C80427"/>
    <w:rsid w:val="00C805AA"/>
    <w:rsid w:val="00C812C2"/>
    <w:rsid w:val="00C817B3"/>
    <w:rsid w:val="00C82027"/>
    <w:rsid w:val="00C822EE"/>
    <w:rsid w:val="00C83DBB"/>
    <w:rsid w:val="00C83F8D"/>
    <w:rsid w:val="00C844BD"/>
    <w:rsid w:val="00C84822"/>
    <w:rsid w:val="00C85DA9"/>
    <w:rsid w:val="00C86C39"/>
    <w:rsid w:val="00C86E22"/>
    <w:rsid w:val="00C873E9"/>
    <w:rsid w:val="00C907AD"/>
    <w:rsid w:val="00C90C7F"/>
    <w:rsid w:val="00C939C2"/>
    <w:rsid w:val="00C956E4"/>
    <w:rsid w:val="00C97699"/>
    <w:rsid w:val="00C97A29"/>
    <w:rsid w:val="00CA0B57"/>
    <w:rsid w:val="00CA2776"/>
    <w:rsid w:val="00CA2FAB"/>
    <w:rsid w:val="00CA30B1"/>
    <w:rsid w:val="00CA33EF"/>
    <w:rsid w:val="00CA7DCE"/>
    <w:rsid w:val="00CB18D0"/>
    <w:rsid w:val="00CB2B63"/>
    <w:rsid w:val="00CB3640"/>
    <w:rsid w:val="00CB4254"/>
    <w:rsid w:val="00CB5C91"/>
    <w:rsid w:val="00CB648C"/>
    <w:rsid w:val="00CB6960"/>
    <w:rsid w:val="00CB7275"/>
    <w:rsid w:val="00CB7C2E"/>
    <w:rsid w:val="00CC28C1"/>
    <w:rsid w:val="00CC562E"/>
    <w:rsid w:val="00CC7E41"/>
    <w:rsid w:val="00CC7F59"/>
    <w:rsid w:val="00CD06D0"/>
    <w:rsid w:val="00CD173A"/>
    <w:rsid w:val="00CD3EFF"/>
    <w:rsid w:val="00CD4B83"/>
    <w:rsid w:val="00CD6039"/>
    <w:rsid w:val="00CD7299"/>
    <w:rsid w:val="00CD7802"/>
    <w:rsid w:val="00CD794E"/>
    <w:rsid w:val="00CE2611"/>
    <w:rsid w:val="00CE3EC4"/>
    <w:rsid w:val="00CE4EFE"/>
    <w:rsid w:val="00CE5004"/>
    <w:rsid w:val="00CE525E"/>
    <w:rsid w:val="00CE7BDF"/>
    <w:rsid w:val="00CF10F7"/>
    <w:rsid w:val="00CF2EC2"/>
    <w:rsid w:val="00CF5CC7"/>
    <w:rsid w:val="00CF6987"/>
    <w:rsid w:val="00D00841"/>
    <w:rsid w:val="00D025FA"/>
    <w:rsid w:val="00D03487"/>
    <w:rsid w:val="00D0630C"/>
    <w:rsid w:val="00D06B82"/>
    <w:rsid w:val="00D07015"/>
    <w:rsid w:val="00D12317"/>
    <w:rsid w:val="00D12B39"/>
    <w:rsid w:val="00D16503"/>
    <w:rsid w:val="00D168F8"/>
    <w:rsid w:val="00D16BCB"/>
    <w:rsid w:val="00D20B0E"/>
    <w:rsid w:val="00D20D74"/>
    <w:rsid w:val="00D20E16"/>
    <w:rsid w:val="00D21162"/>
    <w:rsid w:val="00D2167B"/>
    <w:rsid w:val="00D2270D"/>
    <w:rsid w:val="00D22C5D"/>
    <w:rsid w:val="00D25498"/>
    <w:rsid w:val="00D27787"/>
    <w:rsid w:val="00D27E24"/>
    <w:rsid w:val="00D30B68"/>
    <w:rsid w:val="00D31A88"/>
    <w:rsid w:val="00D31BDD"/>
    <w:rsid w:val="00D340D3"/>
    <w:rsid w:val="00D3463A"/>
    <w:rsid w:val="00D368ED"/>
    <w:rsid w:val="00D37744"/>
    <w:rsid w:val="00D37984"/>
    <w:rsid w:val="00D37B73"/>
    <w:rsid w:val="00D40C3E"/>
    <w:rsid w:val="00D410D4"/>
    <w:rsid w:val="00D410E9"/>
    <w:rsid w:val="00D415A2"/>
    <w:rsid w:val="00D4210D"/>
    <w:rsid w:val="00D42479"/>
    <w:rsid w:val="00D42730"/>
    <w:rsid w:val="00D43115"/>
    <w:rsid w:val="00D43BBC"/>
    <w:rsid w:val="00D43E03"/>
    <w:rsid w:val="00D43E83"/>
    <w:rsid w:val="00D449D2"/>
    <w:rsid w:val="00D45ABC"/>
    <w:rsid w:val="00D50620"/>
    <w:rsid w:val="00D512FC"/>
    <w:rsid w:val="00D52917"/>
    <w:rsid w:val="00D548D6"/>
    <w:rsid w:val="00D56C30"/>
    <w:rsid w:val="00D56D16"/>
    <w:rsid w:val="00D5786B"/>
    <w:rsid w:val="00D606A4"/>
    <w:rsid w:val="00D607FC"/>
    <w:rsid w:val="00D613AA"/>
    <w:rsid w:val="00D622B2"/>
    <w:rsid w:val="00D642CE"/>
    <w:rsid w:val="00D65002"/>
    <w:rsid w:val="00D65971"/>
    <w:rsid w:val="00D72470"/>
    <w:rsid w:val="00D7271F"/>
    <w:rsid w:val="00D7302A"/>
    <w:rsid w:val="00D733EB"/>
    <w:rsid w:val="00D74E7A"/>
    <w:rsid w:val="00D75B22"/>
    <w:rsid w:val="00D75C1F"/>
    <w:rsid w:val="00D75E89"/>
    <w:rsid w:val="00D76426"/>
    <w:rsid w:val="00D767D3"/>
    <w:rsid w:val="00D76D11"/>
    <w:rsid w:val="00D77062"/>
    <w:rsid w:val="00D77568"/>
    <w:rsid w:val="00D77788"/>
    <w:rsid w:val="00D77C36"/>
    <w:rsid w:val="00D80ACF"/>
    <w:rsid w:val="00D81223"/>
    <w:rsid w:val="00D833DB"/>
    <w:rsid w:val="00D83F38"/>
    <w:rsid w:val="00D84063"/>
    <w:rsid w:val="00D84E53"/>
    <w:rsid w:val="00D85D2F"/>
    <w:rsid w:val="00D85EB0"/>
    <w:rsid w:val="00D87850"/>
    <w:rsid w:val="00D91902"/>
    <w:rsid w:val="00D9218E"/>
    <w:rsid w:val="00D925E0"/>
    <w:rsid w:val="00D94EBF"/>
    <w:rsid w:val="00D94F27"/>
    <w:rsid w:val="00D95021"/>
    <w:rsid w:val="00D95A64"/>
    <w:rsid w:val="00D9784F"/>
    <w:rsid w:val="00DA2FE7"/>
    <w:rsid w:val="00DA3313"/>
    <w:rsid w:val="00DA3A23"/>
    <w:rsid w:val="00DA4E58"/>
    <w:rsid w:val="00DA52B3"/>
    <w:rsid w:val="00DA58C9"/>
    <w:rsid w:val="00DA641E"/>
    <w:rsid w:val="00DA66D5"/>
    <w:rsid w:val="00DA6E82"/>
    <w:rsid w:val="00DA736E"/>
    <w:rsid w:val="00DA7AE7"/>
    <w:rsid w:val="00DB1F0C"/>
    <w:rsid w:val="00DB4D96"/>
    <w:rsid w:val="00DB697A"/>
    <w:rsid w:val="00DB6D57"/>
    <w:rsid w:val="00DC10C4"/>
    <w:rsid w:val="00DC11CF"/>
    <w:rsid w:val="00DC2394"/>
    <w:rsid w:val="00DC4A07"/>
    <w:rsid w:val="00DC4C41"/>
    <w:rsid w:val="00DD020C"/>
    <w:rsid w:val="00DD0F52"/>
    <w:rsid w:val="00DD2D00"/>
    <w:rsid w:val="00DD2F1D"/>
    <w:rsid w:val="00DD2F38"/>
    <w:rsid w:val="00DD38AE"/>
    <w:rsid w:val="00DD3922"/>
    <w:rsid w:val="00DD4403"/>
    <w:rsid w:val="00DD4BD7"/>
    <w:rsid w:val="00DD5C20"/>
    <w:rsid w:val="00DD5C2C"/>
    <w:rsid w:val="00DD65F1"/>
    <w:rsid w:val="00DD690D"/>
    <w:rsid w:val="00DD69BE"/>
    <w:rsid w:val="00DD6F26"/>
    <w:rsid w:val="00DD6FA4"/>
    <w:rsid w:val="00DE0B18"/>
    <w:rsid w:val="00DE16C0"/>
    <w:rsid w:val="00DE1BB9"/>
    <w:rsid w:val="00DE2BB6"/>
    <w:rsid w:val="00DE3203"/>
    <w:rsid w:val="00DE3AB6"/>
    <w:rsid w:val="00DE46F4"/>
    <w:rsid w:val="00DE4973"/>
    <w:rsid w:val="00DE5F96"/>
    <w:rsid w:val="00DE6501"/>
    <w:rsid w:val="00DE688A"/>
    <w:rsid w:val="00DE737D"/>
    <w:rsid w:val="00DE788E"/>
    <w:rsid w:val="00DF041C"/>
    <w:rsid w:val="00DF0C55"/>
    <w:rsid w:val="00DF3B17"/>
    <w:rsid w:val="00DF43BC"/>
    <w:rsid w:val="00DF45D9"/>
    <w:rsid w:val="00DF62AE"/>
    <w:rsid w:val="00DF6575"/>
    <w:rsid w:val="00E002D1"/>
    <w:rsid w:val="00E005B7"/>
    <w:rsid w:val="00E0083A"/>
    <w:rsid w:val="00E0121C"/>
    <w:rsid w:val="00E027D7"/>
    <w:rsid w:val="00E02F7C"/>
    <w:rsid w:val="00E062EF"/>
    <w:rsid w:val="00E06D5B"/>
    <w:rsid w:val="00E07706"/>
    <w:rsid w:val="00E07CAF"/>
    <w:rsid w:val="00E110F7"/>
    <w:rsid w:val="00E126F9"/>
    <w:rsid w:val="00E12DD4"/>
    <w:rsid w:val="00E138C0"/>
    <w:rsid w:val="00E14172"/>
    <w:rsid w:val="00E164BB"/>
    <w:rsid w:val="00E17577"/>
    <w:rsid w:val="00E20F0F"/>
    <w:rsid w:val="00E216A2"/>
    <w:rsid w:val="00E21C5B"/>
    <w:rsid w:val="00E21F8E"/>
    <w:rsid w:val="00E21FD9"/>
    <w:rsid w:val="00E220CC"/>
    <w:rsid w:val="00E24557"/>
    <w:rsid w:val="00E2575D"/>
    <w:rsid w:val="00E267FD"/>
    <w:rsid w:val="00E2726A"/>
    <w:rsid w:val="00E274CF"/>
    <w:rsid w:val="00E30BE5"/>
    <w:rsid w:val="00E30CF8"/>
    <w:rsid w:val="00E3187A"/>
    <w:rsid w:val="00E32068"/>
    <w:rsid w:val="00E33CEA"/>
    <w:rsid w:val="00E3484E"/>
    <w:rsid w:val="00E34D4E"/>
    <w:rsid w:val="00E35C63"/>
    <w:rsid w:val="00E366CB"/>
    <w:rsid w:val="00E3741A"/>
    <w:rsid w:val="00E40A92"/>
    <w:rsid w:val="00E40B1F"/>
    <w:rsid w:val="00E41894"/>
    <w:rsid w:val="00E41EC3"/>
    <w:rsid w:val="00E41F5A"/>
    <w:rsid w:val="00E4389D"/>
    <w:rsid w:val="00E44CF3"/>
    <w:rsid w:val="00E460F0"/>
    <w:rsid w:val="00E47459"/>
    <w:rsid w:val="00E47636"/>
    <w:rsid w:val="00E502A8"/>
    <w:rsid w:val="00E513D3"/>
    <w:rsid w:val="00E524AB"/>
    <w:rsid w:val="00E53BE9"/>
    <w:rsid w:val="00E53BEC"/>
    <w:rsid w:val="00E5449C"/>
    <w:rsid w:val="00E546EA"/>
    <w:rsid w:val="00E54B9D"/>
    <w:rsid w:val="00E57F43"/>
    <w:rsid w:val="00E605BB"/>
    <w:rsid w:val="00E61C70"/>
    <w:rsid w:val="00E61FD0"/>
    <w:rsid w:val="00E6208C"/>
    <w:rsid w:val="00E649B9"/>
    <w:rsid w:val="00E66186"/>
    <w:rsid w:val="00E6733E"/>
    <w:rsid w:val="00E70997"/>
    <w:rsid w:val="00E71CC1"/>
    <w:rsid w:val="00E74806"/>
    <w:rsid w:val="00E7580D"/>
    <w:rsid w:val="00E75FF7"/>
    <w:rsid w:val="00E7664D"/>
    <w:rsid w:val="00E76A53"/>
    <w:rsid w:val="00E77753"/>
    <w:rsid w:val="00E830F2"/>
    <w:rsid w:val="00E844CD"/>
    <w:rsid w:val="00E85033"/>
    <w:rsid w:val="00E8639C"/>
    <w:rsid w:val="00E8719F"/>
    <w:rsid w:val="00E87A53"/>
    <w:rsid w:val="00E87A7B"/>
    <w:rsid w:val="00E87FC2"/>
    <w:rsid w:val="00E906E0"/>
    <w:rsid w:val="00E90994"/>
    <w:rsid w:val="00E92835"/>
    <w:rsid w:val="00E93030"/>
    <w:rsid w:val="00E93FF7"/>
    <w:rsid w:val="00E94E17"/>
    <w:rsid w:val="00E95E9C"/>
    <w:rsid w:val="00E97049"/>
    <w:rsid w:val="00EA1CCF"/>
    <w:rsid w:val="00EA301D"/>
    <w:rsid w:val="00EA323B"/>
    <w:rsid w:val="00EA3CBB"/>
    <w:rsid w:val="00EA57DB"/>
    <w:rsid w:val="00EA64DB"/>
    <w:rsid w:val="00EA6750"/>
    <w:rsid w:val="00EA6818"/>
    <w:rsid w:val="00EA6986"/>
    <w:rsid w:val="00EA7461"/>
    <w:rsid w:val="00EA74E4"/>
    <w:rsid w:val="00EB1E43"/>
    <w:rsid w:val="00EB1F1E"/>
    <w:rsid w:val="00EB2DF2"/>
    <w:rsid w:val="00EB2E32"/>
    <w:rsid w:val="00EB3D2F"/>
    <w:rsid w:val="00EB4A9A"/>
    <w:rsid w:val="00EB6093"/>
    <w:rsid w:val="00EB7B63"/>
    <w:rsid w:val="00EC0FA1"/>
    <w:rsid w:val="00EC1842"/>
    <w:rsid w:val="00EC186D"/>
    <w:rsid w:val="00EC272A"/>
    <w:rsid w:val="00EC2E87"/>
    <w:rsid w:val="00EC2FE4"/>
    <w:rsid w:val="00EC39AC"/>
    <w:rsid w:val="00EC4494"/>
    <w:rsid w:val="00EC4C0E"/>
    <w:rsid w:val="00EC5E2E"/>
    <w:rsid w:val="00EC638F"/>
    <w:rsid w:val="00EC7D07"/>
    <w:rsid w:val="00ED197D"/>
    <w:rsid w:val="00ED2CDC"/>
    <w:rsid w:val="00ED2E5D"/>
    <w:rsid w:val="00ED6545"/>
    <w:rsid w:val="00ED72C3"/>
    <w:rsid w:val="00EE1A86"/>
    <w:rsid w:val="00EE3555"/>
    <w:rsid w:val="00EE39BD"/>
    <w:rsid w:val="00EE3E46"/>
    <w:rsid w:val="00EE3E57"/>
    <w:rsid w:val="00EE554E"/>
    <w:rsid w:val="00EE721A"/>
    <w:rsid w:val="00EE778E"/>
    <w:rsid w:val="00EE79D9"/>
    <w:rsid w:val="00EF0A33"/>
    <w:rsid w:val="00EF3134"/>
    <w:rsid w:val="00EF3E49"/>
    <w:rsid w:val="00EF40B8"/>
    <w:rsid w:val="00EF4BFC"/>
    <w:rsid w:val="00EF53BF"/>
    <w:rsid w:val="00F001A8"/>
    <w:rsid w:val="00F0153B"/>
    <w:rsid w:val="00F0218C"/>
    <w:rsid w:val="00F0331F"/>
    <w:rsid w:val="00F04F87"/>
    <w:rsid w:val="00F06E17"/>
    <w:rsid w:val="00F07687"/>
    <w:rsid w:val="00F1002C"/>
    <w:rsid w:val="00F10038"/>
    <w:rsid w:val="00F1062D"/>
    <w:rsid w:val="00F10A72"/>
    <w:rsid w:val="00F10EB1"/>
    <w:rsid w:val="00F11434"/>
    <w:rsid w:val="00F13834"/>
    <w:rsid w:val="00F14DC5"/>
    <w:rsid w:val="00F14EBF"/>
    <w:rsid w:val="00F15483"/>
    <w:rsid w:val="00F17201"/>
    <w:rsid w:val="00F17E60"/>
    <w:rsid w:val="00F225E2"/>
    <w:rsid w:val="00F24A62"/>
    <w:rsid w:val="00F25195"/>
    <w:rsid w:val="00F262AE"/>
    <w:rsid w:val="00F263FF"/>
    <w:rsid w:val="00F26D39"/>
    <w:rsid w:val="00F313A3"/>
    <w:rsid w:val="00F3258C"/>
    <w:rsid w:val="00F32D49"/>
    <w:rsid w:val="00F33747"/>
    <w:rsid w:val="00F35FB8"/>
    <w:rsid w:val="00F360CF"/>
    <w:rsid w:val="00F477E1"/>
    <w:rsid w:val="00F47905"/>
    <w:rsid w:val="00F50F37"/>
    <w:rsid w:val="00F52B1B"/>
    <w:rsid w:val="00F53340"/>
    <w:rsid w:val="00F56990"/>
    <w:rsid w:val="00F56D55"/>
    <w:rsid w:val="00F602BB"/>
    <w:rsid w:val="00F61971"/>
    <w:rsid w:val="00F63B43"/>
    <w:rsid w:val="00F63D27"/>
    <w:rsid w:val="00F6542E"/>
    <w:rsid w:val="00F66D7F"/>
    <w:rsid w:val="00F67164"/>
    <w:rsid w:val="00F67AA4"/>
    <w:rsid w:val="00F7077C"/>
    <w:rsid w:val="00F70D92"/>
    <w:rsid w:val="00F7111A"/>
    <w:rsid w:val="00F734BC"/>
    <w:rsid w:val="00F750C6"/>
    <w:rsid w:val="00F752EE"/>
    <w:rsid w:val="00F75AB2"/>
    <w:rsid w:val="00F775B3"/>
    <w:rsid w:val="00F8009F"/>
    <w:rsid w:val="00F809A9"/>
    <w:rsid w:val="00F80CE9"/>
    <w:rsid w:val="00F82B83"/>
    <w:rsid w:val="00F82C14"/>
    <w:rsid w:val="00F84C04"/>
    <w:rsid w:val="00F8710D"/>
    <w:rsid w:val="00F87F2A"/>
    <w:rsid w:val="00F9000E"/>
    <w:rsid w:val="00F906BC"/>
    <w:rsid w:val="00F90A2F"/>
    <w:rsid w:val="00F91187"/>
    <w:rsid w:val="00F91AAD"/>
    <w:rsid w:val="00F93548"/>
    <w:rsid w:val="00F93587"/>
    <w:rsid w:val="00F938FC"/>
    <w:rsid w:val="00F944D0"/>
    <w:rsid w:val="00F9488B"/>
    <w:rsid w:val="00F95EF1"/>
    <w:rsid w:val="00F972CD"/>
    <w:rsid w:val="00FA0410"/>
    <w:rsid w:val="00FA16ED"/>
    <w:rsid w:val="00FA295D"/>
    <w:rsid w:val="00FA483B"/>
    <w:rsid w:val="00FB1C15"/>
    <w:rsid w:val="00FB1E5D"/>
    <w:rsid w:val="00FB2634"/>
    <w:rsid w:val="00FB30D7"/>
    <w:rsid w:val="00FB4E89"/>
    <w:rsid w:val="00FB4F5E"/>
    <w:rsid w:val="00FB6206"/>
    <w:rsid w:val="00FB6CD2"/>
    <w:rsid w:val="00FB7123"/>
    <w:rsid w:val="00FC02A1"/>
    <w:rsid w:val="00FC198F"/>
    <w:rsid w:val="00FC1E94"/>
    <w:rsid w:val="00FC251C"/>
    <w:rsid w:val="00FC5CA2"/>
    <w:rsid w:val="00FC6272"/>
    <w:rsid w:val="00FC65C0"/>
    <w:rsid w:val="00FD108D"/>
    <w:rsid w:val="00FD1151"/>
    <w:rsid w:val="00FD23BB"/>
    <w:rsid w:val="00FD2711"/>
    <w:rsid w:val="00FD641E"/>
    <w:rsid w:val="00FD65AB"/>
    <w:rsid w:val="00FD725F"/>
    <w:rsid w:val="00FD782E"/>
    <w:rsid w:val="00FE1CBF"/>
    <w:rsid w:val="00FE248D"/>
    <w:rsid w:val="00FE27FC"/>
    <w:rsid w:val="00FE3ADA"/>
    <w:rsid w:val="00FE602B"/>
    <w:rsid w:val="00FE61F5"/>
    <w:rsid w:val="00FF0EFD"/>
    <w:rsid w:val="00FF19EC"/>
    <w:rsid w:val="00FF218F"/>
    <w:rsid w:val="00FF3B79"/>
    <w:rsid w:val="00FF411F"/>
    <w:rsid w:val="00FF4BE8"/>
    <w:rsid w:val="00FF54DD"/>
    <w:rsid w:val="00FF5AF3"/>
    <w:rsid w:val="00FF6432"/>
    <w:rsid w:val="00FF6F4E"/>
    <w:rsid w:val="13AA3B19"/>
    <w:rsid w:val="210E0612"/>
    <w:rsid w:val="318624CC"/>
    <w:rsid w:val="3F4562F2"/>
    <w:rsid w:val="5C8F1F1A"/>
    <w:rsid w:val="6EEC06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C814CB"/>
  <w15:docId w15:val="{5AF8041D-406A-4476-81C6-2A0D5B117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pPr>
      <w:jc w:val="left"/>
    </w:pPr>
  </w:style>
  <w:style w:type="paragraph" w:styleId="a5">
    <w:name w:val="Balloon Text"/>
    <w:basedOn w:val="a"/>
    <w:link w:val="a6"/>
    <w:uiPriority w:val="99"/>
    <w:semiHidden/>
    <w:unhideWhenUsed/>
    <w:qFormat/>
    <w:rPr>
      <w:sz w:val="18"/>
      <w:szCs w:val="18"/>
    </w:rPr>
  </w:style>
  <w:style w:type="paragraph" w:styleId="a7">
    <w:name w:val="footer"/>
    <w:basedOn w:val="a"/>
    <w:link w:val="a8"/>
    <w:uiPriority w:val="99"/>
    <w:unhideWhenUsed/>
    <w:pPr>
      <w:tabs>
        <w:tab w:val="center" w:pos="4153"/>
        <w:tab w:val="right" w:pos="8306"/>
      </w:tabs>
      <w:snapToGrid w:val="0"/>
      <w:jc w:val="left"/>
    </w:pPr>
    <w:rPr>
      <w:sz w:val="18"/>
      <w:szCs w:val="18"/>
    </w:rPr>
  </w:style>
  <w:style w:type="paragraph" w:styleId="a9">
    <w:name w:val="header"/>
    <w:basedOn w:val="a"/>
    <w:link w:val="aa"/>
    <w:uiPriority w:val="99"/>
    <w:unhideWhenUsed/>
    <w:pPr>
      <w:pBdr>
        <w:bottom w:val="single" w:sz="6" w:space="1" w:color="auto"/>
      </w:pBdr>
      <w:tabs>
        <w:tab w:val="center" w:pos="4153"/>
        <w:tab w:val="right" w:pos="8306"/>
      </w:tabs>
      <w:snapToGrid w:val="0"/>
      <w:jc w:val="center"/>
    </w:pPr>
    <w:rPr>
      <w:sz w:val="18"/>
      <w:szCs w:val="18"/>
    </w:rPr>
  </w:style>
  <w:style w:type="paragraph" w:styleId="ab">
    <w:name w:val="annotation subject"/>
    <w:basedOn w:val="a3"/>
    <w:next w:val="a3"/>
    <w:link w:val="ac"/>
    <w:uiPriority w:val="99"/>
    <w:semiHidden/>
    <w:unhideWhenUsed/>
    <w:qFormat/>
    <w:rPr>
      <w:b/>
      <w:bCs/>
    </w:rPr>
  </w:style>
  <w:style w:type="table" w:styleId="ad">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line number"/>
    <w:basedOn w:val="a0"/>
    <w:uiPriority w:val="99"/>
    <w:semiHidden/>
    <w:unhideWhenUsed/>
  </w:style>
  <w:style w:type="character" w:styleId="af">
    <w:name w:val="Hyperlink"/>
    <w:basedOn w:val="a0"/>
    <w:uiPriority w:val="99"/>
    <w:unhideWhenUsed/>
    <w:qFormat/>
    <w:rPr>
      <w:color w:val="0563C1" w:themeColor="hyperlink"/>
      <w:u w:val="single"/>
    </w:rPr>
  </w:style>
  <w:style w:type="character" w:styleId="af0">
    <w:name w:val="annotation reference"/>
    <w:basedOn w:val="a0"/>
    <w:uiPriority w:val="99"/>
    <w:semiHidden/>
    <w:unhideWhenUsed/>
    <w:rPr>
      <w:sz w:val="21"/>
      <w:szCs w:val="21"/>
    </w:rPr>
  </w:style>
  <w:style w:type="character" w:customStyle="1" w:styleId="aa">
    <w:name w:val="页眉 字符"/>
    <w:basedOn w:val="a0"/>
    <w:link w:val="a9"/>
    <w:uiPriority w:val="99"/>
    <w:rPr>
      <w:sz w:val="18"/>
      <w:szCs w:val="18"/>
    </w:rPr>
  </w:style>
  <w:style w:type="character" w:customStyle="1" w:styleId="a8">
    <w:name w:val="页脚 字符"/>
    <w:basedOn w:val="a0"/>
    <w:link w:val="a7"/>
    <w:uiPriority w:val="99"/>
    <w:rPr>
      <w:sz w:val="18"/>
      <w:szCs w:val="18"/>
    </w:rPr>
  </w:style>
  <w:style w:type="paragraph" w:styleId="af1">
    <w:name w:val="List Paragraph"/>
    <w:basedOn w:val="a"/>
    <w:uiPriority w:val="34"/>
    <w:qFormat/>
    <w:pPr>
      <w:ind w:firstLineChars="200" w:firstLine="420"/>
    </w:pPr>
  </w:style>
  <w:style w:type="character" w:styleId="af2">
    <w:name w:val="Placeholder Text"/>
    <w:basedOn w:val="a0"/>
    <w:uiPriority w:val="99"/>
    <w:semiHidden/>
    <w:rPr>
      <w:color w:val="808080"/>
    </w:rPr>
  </w:style>
  <w:style w:type="paragraph" w:customStyle="1" w:styleId="1">
    <w:name w:val="修订1"/>
    <w:hidden/>
    <w:uiPriority w:val="99"/>
    <w:semiHidden/>
    <w:rPr>
      <w:kern w:val="2"/>
      <w:sz w:val="21"/>
      <w:szCs w:val="22"/>
    </w:rPr>
  </w:style>
  <w:style w:type="paragraph" w:customStyle="1" w:styleId="11">
    <w:name w:val="样式11"/>
    <w:basedOn w:val="a"/>
    <w:qFormat/>
    <w:pPr>
      <w:spacing w:beforeLines="50" w:before="50" w:afterLines="50" w:after="50" w:line="480" w:lineRule="auto"/>
      <w:ind w:firstLineChars="200" w:firstLine="200"/>
      <w:jc w:val="center"/>
    </w:pPr>
    <w:rPr>
      <w:rFonts w:ascii="Times New Roman" w:eastAsia="宋体" w:hAnsi="Times New Roman" w:cs="Times New Roman"/>
      <w:i/>
      <w:kern w:val="0"/>
      <w:sz w:val="24"/>
      <w:szCs w:val="24"/>
    </w:rPr>
  </w:style>
  <w:style w:type="paragraph" w:customStyle="1" w:styleId="10">
    <w:name w:val="列表段落1"/>
    <w:basedOn w:val="a"/>
    <w:qFormat/>
    <w:pPr>
      <w:ind w:firstLineChars="200" w:firstLine="420"/>
    </w:pPr>
  </w:style>
  <w:style w:type="paragraph" w:customStyle="1" w:styleId="12">
    <w:name w:val="正文1"/>
    <w:qFormat/>
    <w:pPr>
      <w:jc w:val="both"/>
    </w:pPr>
    <w:rPr>
      <w:rFonts w:ascii="Times New Roman" w:eastAsia="宋体" w:hAnsi="Times New Roman" w:cs="Times New Roman"/>
      <w:kern w:val="2"/>
      <w:sz w:val="21"/>
      <w:szCs w:val="21"/>
    </w:rPr>
  </w:style>
  <w:style w:type="table" w:customStyle="1" w:styleId="13">
    <w:name w:val="网格型1"/>
    <w:basedOn w:val="a1"/>
    <w:qFormat/>
    <w:rPr>
      <w:rFonts w:ascii="Times New Roman" w:eastAsia="宋体" w:hAnsi="Times New Roman" w:cs="Times New Roman"/>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批注文字 字符"/>
    <w:basedOn w:val="a0"/>
    <w:link w:val="a3"/>
    <w:uiPriority w:val="99"/>
    <w:semiHidden/>
    <w:qFormat/>
  </w:style>
  <w:style w:type="character" w:customStyle="1" w:styleId="ac">
    <w:name w:val="批注主题 字符"/>
    <w:basedOn w:val="a4"/>
    <w:link w:val="ab"/>
    <w:uiPriority w:val="99"/>
    <w:semiHidden/>
    <w:qFormat/>
    <w:rPr>
      <w:b/>
      <w:bCs/>
    </w:rPr>
  </w:style>
  <w:style w:type="character" w:customStyle="1" w:styleId="a6">
    <w:name w:val="批注框文本 字符"/>
    <w:basedOn w:val="a0"/>
    <w:link w:val="a5"/>
    <w:uiPriority w:val="99"/>
    <w:semiHidden/>
    <w:qFormat/>
    <w:rPr>
      <w:sz w:val="18"/>
      <w:szCs w:val="18"/>
    </w:rPr>
  </w:style>
  <w:style w:type="paragraph" w:customStyle="1" w:styleId="MStitle">
    <w:name w:val="MS title"/>
    <w:basedOn w:val="a"/>
    <w:link w:val="MStitleChar"/>
    <w:qFormat/>
    <w:pPr>
      <w:widowControl/>
      <w:spacing w:before="360" w:line="440" w:lineRule="exact"/>
      <w:contextualSpacing/>
    </w:pPr>
    <w:rPr>
      <w:rFonts w:ascii="Times New Roman" w:eastAsia="Times New Roman" w:hAnsi="Times New Roman" w:cs="Times New Roman"/>
      <w:b/>
      <w:kern w:val="0"/>
      <w:sz w:val="34"/>
      <w:szCs w:val="24"/>
      <w:lang w:val="en-GB" w:eastAsia="de-DE"/>
    </w:rPr>
  </w:style>
  <w:style w:type="character" w:customStyle="1" w:styleId="MStitleChar">
    <w:name w:val="MS title Char"/>
    <w:basedOn w:val="a0"/>
    <w:link w:val="MStitle"/>
    <w:qFormat/>
    <w:rPr>
      <w:rFonts w:ascii="Times New Roman" w:eastAsia="Times New Roman" w:hAnsi="Times New Roman" w:cs="Times New Roman"/>
      <w:b/>
      <w:kern w:val="0"/>
      <w:sz w:val="34"/>
      <w:szCs w:val="24"/>
      <w:lang w:val="en-GB" w:eastAsia="de-DE"/>
    </w:rPr>
  </w:style>
  <w:style w:type="paragraph" w:customStyle="1" w:styleId="Authors">
    <w:name w:val="Authors"/>
    <w:basedOn w:val="a"/>
    <w:link w:val="AuthorsChar"/>
    <w:qFormat/>
    <w:pPr>
      <w:widowControl/>
      <w:spacing w:before="180"/>
      <w:contextualSpacing/>
    </w:pPr>
    <w:rPr>
      <w:rFonts w:ascii="Times New Roman" w:eastAsia="Times New Roman" w:hAnsi="Times New Roman" w:cs="Times New Roman"/>
      <w:kern w:val="0"/>
      <w:sz w:val="24"/>
      <w:szCs w:val="24"/>
      <w:lang w:val="en-GB" w:eastAsia="de-DE"/>
    </w:rPr>
  </w:style>
  <w:style w:type="character" w:customStyle="1" w:styleId="AuthorsChar">
    <w:name w:val="Authors Char"/>
    <w:basedOn w:val="a0"/>
    <w:link w:val="Authors"/>
    <w:qFormat/>
    <w:rPr>
      <w:rFonts w:ascii="Times New Roman" w:eastAsia="Times New Roman" w:hAnsi="Times New Roman" w:cs="Times New Roman"/>
      <w:kern w:val="0"/>
      <w:sz w:val="24"/>
      <w:szCs w:val="24"/>
      <w:lang w:val="en-GB" w:eastAsia="de-DE"/>
    </w:rPr>
  </w:style>
  <w:style w:type="paragraph" w:customStyle="1" w:styleId="Correspondence">
    <w:name w:val="Correspondence"/>
    <w:basedOn w:val="a"/>
    <w:link w:val="CorrespondenceChar"/>
    <w:qFormat/>
    <w:pPr>
      <w:widowControl/>
      <w:spacing w:before="120" w:after="360"/>
    </w:pPr>
    <w:rPr>
      <w:rFonts w:ascii="Times New Roman" w:eastAsia="Times New Roman" w:hAnsi="Times New Roman" w:cs="Times New Roman"/>
      <w:kern w:val="0"/>
      <w:sz w:val="20"/>
      <w:szCs w:val="24"/>
      <w:lang w:val="en-GB" w:eastAsia="de-DE"/>
    </w:rPr>
  </w:style>
  <w:style w:type="character" w:customStyle="1" w:styleId="CorrespondenceChar">
    <w:name w:val="Correspondence Char"/>
    <w:basedOn w:val="a0"/>
    <w:link w:val="Correspondence"/>
    <w:qFormat/>
    <w:rPr>
      <w:rFonts w:ascii="Times New Roman" w:eastAsia="Times New Roman" w:hAnsi="Times New Roman" w:cs="Times New Roman"/>
      <w:kern w:val="0"/>
      <w:sz w:val="20"/>
      <w:szCs w:val="24"/>
      <w:lang w:val="en-GB" w:eastAsia="de-DE"/>
    </w:rPr>
  </w:style>
  <w:style w:type="paragraph" w:customStyle="1" w:styleId="Affiliation">
    <w:name w:val="Affiliation"/>
    <w:basedOn w:val="a"/>
    <w:link w:val="AffiliationChar"/>
    <w:qFormat/>
    <w:pPr>
      <w:widowControl/>
      <w:spacing w:before="120"/>
      <w:contextualSpacing/>
    </w:pPr>
    <w:rPr>
      <w:rFonts w:ascii="Times New Roman" w:eastAsia="Times New Roman" w:hAnsi="Times New Roman" w:cs="Times New Roman"/>
      <w:kern w:val="0"/>
      <w:sz w:val="20"/>
      <w:szCs w:val="24"/>
      <w:lang w:val="en-GB" w:eastAsia="de-DE"/>
    </w:rPr>
  </w:style>
  <w:style w:type="character" w:customStyle="1" w:styleId="AffiliationChar">
    <w:name w:val="Affiliation Char"/>
    <w:basedOn w:val="a0"/>
    <w:link w:val="Affiliation"/>
    <w:qFormat/>
    <w:rPr>
      <w:rFonts w:ascii="Times New Roman" w:eastAsia="Times New Roman" w:hAnsi="Times New Roman" w:cs="Times New Roman"/>
      <w:kern w:val="0"/>
      <w:sz w:val="20"/>
      <w:szCs w:val="24"/>
      <w:lang w:val="en-GB" w:eastAsia="de-DE"/>
    </w:rPr>
  </w:style>
  <w:style w:type="character" w:customStyle="1" w:styleId="14">
    <w:name w:val="未处理的提及1"/>
    <w:basedOn w:val="a0"/>
    <w:uiPriority w:val="99"/>
    <w:semiHidden/>
    <w:unhideWhenUsed/>
    <w:qFormat/>
    <w:rPr>
      <w:color w:val="605E5C"/>
      <w:shd w:val="clear" w:color="auto" w:fill="E1DFDD"/>
    </w:rPr>
  </w:style>
  <w:style w:type="character" w:styleId="af3">
    <w:name w:val="Unresolved Mention"/>
    <w:basedOn w:val="a0"/>
    <w:uiPriority w:val="99"/>
    <w:semiHidden/>
    <w:unhideWhenUsed/>
    <w:rsid w:val="002A11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usgs.gov/"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s://doi.org/10.5067/TTO0VJF2FSYR" TargetMode="Externa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oi.org/10.1175/AMSMONOGRAPHS-D-18-0022.1" TargetMode="External"/><Relationship Id="rId24" Type="http://schemas.openxmlformats.org/officeDocument/2006/relationships/image" Target="media/image13.png"/><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10" Type="http://schemas.openxmlformats.org/officeDocument/2006/relationships/hyperlink" Target="https://doi.org/10.5281/zenodo.7256923"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doi.org/10.24381/cds.6860a573" TargetMode="External"/><Relationship Id="rId14" Type="http://schemas.openxmlformats.org/officeDocument/2006/relationships/image" Target="media/image3.svg"/><Relationship Id="rId22" Type="http://schemas.openxmlformats.org/officeDocument/2006/relationships/image" Target="media/image11.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EFDF9B-B716-4803-93BF-393A70275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388</TotalTime>
  <Pages>33</Pages>
  <Words>8655</Words>
  <Characters>49335</Characters>
  <Application>Microsoft Office Word</Application>
  <DocSecurity>0</DocSecurity>
  <Lines>411</Lines>
  <Paragraphs>115</Paragraphs>
  <ScaleCrop>false</ScaleCrop>
  <Company/>
  <LinksUpToDate>false</LinksUpToDate>
  <CharactersWithSpaces>57875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301029987@qq.com</dc:creator>
  <cp:lastModifiedBy>301029987@qq.com</cp:lastModifiedBy>
  <cp:revision>21</cp:revision>
  <dcterms:created xsi:type="dcterms:W3CDTF">2023-02-21T07:25:00Z</dcterms:created>
  <dcterms:modified xsi:type="dcterms:W3CDTF">2023-02-26T12:12:00Z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72187BB0B6754A39A5A6AF48D9796128</vt:lpwstr>
  </property>
</Properties>
</file>